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10109B" w:rsidRPr="00145DC1" w:rsidRDefault="0010109B" w:rsidP="0010109B">
      <w:pPr>
        <w:tabs>
          <w:tab w:val="center" w:pos="4536"/>
          <w:tab w:val="right" w:pos="9639"/>
        </w:tabs>
        <w:ind w:right="2"/>
        <w:rPr>
          <w:rFonts w:ascii="Arial" w:eastAsia="Batang" w:hAnsi="Arial" w:cs="Arial"/>
          <w:b/>
          <w:bCs/>
          <w:sz w:val="28"/>
          <w:lang w:eastAsia="en-US"/>
        </w:rPr>
      </w:pPr>
      <w:bookmarkStart w:id="0" w:name="_Hlk145670493"/>
      <w:r w:rsidRPr="00145DC1">
        <w:rPr>
          <w:rFonts w:ascii="Arial" w:eastAsia="Batang" w:hAnsi="Arial" w:cs="Arial"/>
          <w:b/>
          <w:bCs/>
          <w:sz w:val="28"/>
          <w:lang w:eastAsia="en-US"/>
        </w:rPr>
        <w:t>3GPP TSG RAN WG1 #118</w:t>
      </w:r>
      <w:r>
        <w:rPr>
          <w:rFonts w:ascii="Arial" w:eastAsia="Batang" w:hAnsi="Arial" w:cs="Arial"/>
          <w:b/>
          <w:bCs/>
          <w:sz w:val="28"/>
          <w:lang w:eastAsia="en-US"/>
        </w:rPr>
        <w:t>b</w:t>
      </w:r>
      <w:r w:rsidRPr="00145DC1">
        <w:rPr>
          <w:rFonts w:ascii="Arial" w:eastAsia="Batang" w:hAnsi="Arial" w:cs="Arial"/>
          <w:b/>
          <w:bCs/>
          <w:sz w:val="28"/>
          <w:lang w:eastAsia="en-US"/>
        </w:rPr>
        <w:tab/>
      </w:r>
      <w:r w:rsidRPr="00145DC1">
        <w:rPr>
          <w:rFonts w:ascii="Arial" w:eastAsia="Batang" w:hAnsi="Arial" w:cs="Arial"/>
          <w:b/>
          <w:bCs/>
          <w:sz w:val="28"/>
          <w:lang w:eastAsia="en-US"/>
        </w:rPr>
        <w:tab/>
        <w:t>R1-24</w:t>
      </w:r>
      <w:r w:rsidR="00C40837">
        <w:rPr>
          <w:rFonts w:ascii="Arial" w:eastAsia="Batang" w:hAnsi="Arial" w:cs="Arial"/>
          <w:b/>
          <w:bCs/>
          <w:sz w:val="28"/>
          <w:lang w:eastAsia="en-US"/>
        </w:rPr>
        <w:t>07993</w:t>
      </w:r>
    </w:p>
    <w:p w:rsidR="0010109B" w:rsidRPr="00145DC1" w:rsidRDefault="0010109B" w:rsidP="0010109B">
      <w:pPr>
        <w:tabs>
          <w:tab w:val="center" w:pos="4536"/>
          <w:tab w:val="right" w:pos="9072"/>
        </w:tabs>
        <w:rPr>
          <w:rFonts w:ascii="Arial" w:eastAsia="MS Mincho" w:hAnsi="Arial" w:cs="Arial"/>
          <w:b/>
          <w:bCs/>
          <w:sz w:val="28"/>
          <w:lang w:eastAsia="ja-JP"/>
        </w:rPr>
      </w:pPr>
      <w:r w:rsidRPr="00145DC1">
        <w:rPr>
          <w:rFonts w:ascii="Arial" w:eastAsia="MS Mincho" w:hAnsi="Arial" w:cs="Arial"/>
          <w:b/>
          <w:bCs/>
          <w:sz w:val="28"/>
          <w:lang w:eastAsia="ja-JP"/>
        </w:rPr>
        <w:t>Hefei, China, October 14</w:t>
      </w:r>
      <w:r w:rsidRPr="00145DC1">
        <w:rPr>
          <w:rFonts w:ascii="Malgun Gothic" w:eastAsia="Malgun Gothic" w:hAnsi="Malgun Gothic" w:cs="Malgun Gothic" w:hint="eastAsia"/>
          <w:b/>
          <w:bCs/>
          <w:sz w:val="28"/>
          <w:vertAlign w:val="superscript"/>
          <w:lang w:eastAsia="ko-KR"/>
        </w:rPr>
        <w:t>th</w:t>
      </w:r>
      <w:r w:rsidRPr="00145DC1">
        <w:rPr>
          <w:rFonts w:ascii="Arial" w:eastAsia="MS Mincho" w:hAnsi="Arial" w:cs="Arial"/>
          <w:b/>
          <w:bCs/>
          <w:sz w:val="28"/>
          <w:lang w:eastAsia="ja-JP"/>
        </w:rPr>
        <w:t xml:space="preserve"> </w:t>
      </w:r>
      <w:r w:rsidRPr="00145DC1">
        <w:rPr>
          <w:rFonts w:ascii="Arial" w:eastAsia="Batang" w:hAnsi="Arial" w:cs="Arial"/>
          <w:b/>
          <w:bCs/>
          <w:sz w:val="28"/>
          <w:lang w:eastAsia="en-US"/>
        </w:rPr>
        <w:t>– 18</w:t>
      </w:r>
      <w:r w:rsidRPr="00145DC1">
        <w:rPr>
          <w:rFonts w:ascii="Arial" w:eastAsia="Batang" w:hAnsi="Arial" w:cs="Arial"/>
          <w:b/>
          <w:bCs/>
          <w:sz w:val="28"/>
          <w:vertAlign w:val="superscript"/>
          <w:lang w:eastAsia="en-US"/>
        </w:rPr>
        <w:t>th</w:t>
      </w:r>
      <w:r w:rsidRPr="00145DC1">
        <w:rPr>
          <w:rFonts w:ascii="Arial" w:eastAsia="MS Mincho" w:hAnsi="Arial" w:cs="Arial"/>
          <w:b/>
          <w:bCs/>
          <w:sz w:val="28"/>
          <w:lang w:eastAsia="ja-JP"/>
        </w:rPr>
        <w:t>, 2024</w:t>
      </w:r>
    </w:p>
    <w:bookmarkEnd w:id="0"/>
    <w:p w:rsidR="00557396" w:rsidRPr="00ED06D1"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047A06">
        <w:rPr>
          <w:sz w:val="22"/>
          <w:szCs w:val="22"/>
        </w:rPr>
        <w:t>9</w:t>
      </w:r>
      <w:r w:rsidR="00987AEE">
        <w:rPr>
          <w:sz w:val="22"/>
          <w:szCs w:val="22"/>
        </w:rPr>
        <w:t>.</w:t>
      </w:r>
      <w:r w:rsidR="00930759">
        <w:rPr>
          <w:sz w:val="22"/>
          <w:szCs w:val="22"/>
        </w:rPr>
        <w:t>2</w:t>
      </w:r>
      <w:r w:rsidR="00047A06">
        <w:rPr>
          <w:sz w:val="22"/>
          <w:szCs w:val="22"/>
        </w:rPr>
        <w:t>.</w:t>
      </w:r>
      <w:r w:rsidR="00930759">
        <w:rPr>
          <w:sz w:val="22"/>
          <w:szCs w:val="22"/>
        </w:rPr>
        <w:t>2</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45555A">
        <w:rPr>
          <w:sz w:val="22"/>
          <w:szCs w:val="22"/>
        </w:rPr>
        <w:t>CSI</w:t>
      </w:r>
      <w:r w:rsidR="00EA7968">
        <w:rPr>
          <w:sz w:val="22"/>
          <w:szCs w:val="22"/>
        </w:rPr>
        <w:t xml:space="preserve"> Enhancement for NR </w:t>
      </w:r>
      <w:r w:rsidR="0045555A">
        <w:rPr>
          <w:sz w:val="22"/>
          <w:szCs w:val="22"/>
        </w:rPr>
        <w:t>MIMO</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330A5A" w:rsidRDefault="00557396" w:rsidP="00557396">
      <w:pPr>
        <w:pStyle w:val="0Maintext"/>
        <w:spacing w:after="120" w:afterAutospacing="0" w:line="240" w:lineRule="auto"/>
        <w:ind w:firstLine="0"/>
        <w:rPr>
          <w:lang w:val="en-US"/>
        </w:rPr>
      </w:pPr>
      <w:r>
        <w:rPr>
          <w:lang w:val="en-US"/>
        </w:rPr>
        <w:t xml:space="preserve">In </w:t>
      </w:r>
      <w:r w:rsidR="00AD38A8">
        <w:rPr>
          <w:lang w:val="en-US"/>
        </w:rPr>
        <w:t>RAN1 #11</w:t>
      </w:r>
      <w:r w:rsidR="00352FF1">
        <w:rPr>
          <w:lang w:val="en-US"/>
        </w:rPr>
        <w:t>8</w:t>
      </w:r>
      <w:r w:rsidR="00AD38A8">
        <w:rPr>
          <w:lang w:val="en-US"/>
        </w:rPr>
        <w:t xml:space="preserve"> meeting</w:t>
      </w:r>
      <w:r>
        <w:rPr>
          <w:lang w:val="en-US"/>
        </w:rPr>
        <w:t xml:space="preserve">, </w:t>
      </w:r>
      <w:r w:rsidR="00330A5A">
        <w:rPr>
          <w:lang w:val="en-US"/>
        </w:rPr>
        <w:t xml:space="preserve">the following </w:t>
      </w:r>
      <w:r w:rsidR="00AD38A8">
        <w:rPr>
          <w:lang w:val="en-US"/>
        </w:rPr>
        <w:t>agreements on CSI enhancement were achieved</w:t>
      </w:r>
      <w:r w:rsidR="00330A5A">
        <w:rPr>
          <w:lang w:val="en-US"/>
        </w:rPr>
        <w:t>.</w:t>
      </w:r>
    </w:p>
    <w:tbl>
      <w:tblPr>
        <w:tblStyle w:val="TableGrid"/>
        <w:tblW w:w="0" w:type="auto"/>
        <w:tblLook w:val="04A0" w:firstRow="1" w:lastRow="0" w:firstColumn="1" w:lastColumn="0" w:noHBand="0" w:noVBand="1"/>
      </w:tblPr>
      <w:tblGrid>
        <w:gridCol w:w="9010"/>
      </w:tblGrid>
      <w:tr w:rsidR="00330A5A" w:rsidRPr="0045555A" w:rsidTr="00330A5A">
        <w:tc>
          <w:tcPr>
            <w:tcW w:w="9010" w:type="dxa"/>
          </w:tcPr>
          <w:p w:rsidR="00352FF1" w:rsidRPr="002B690E" w:rsidRDefault="00352FF1" w:rsidP="00352FF1">
            <w:pPr>
              <w:snapToGrid w:val="0"/>
              <w:rPr>
                <w:rFonts w:eastAsia="Malgun Gothic"/>
                <w:sz w:val="20"/>
                <w:szCs w:val="20"/>
                <w:lang w:eastAsia="ko-KR"/>
              </w:rPr>
            </w:pPr>
            <w:r w:rsidRPr="002B690E">
              <w:rPr>
                <w:rFonts w:eastAsia="Malgun Gothic"/>
                <w:b/>
                <w:sz w:val="20"/>
                <w:szCs w:val="20"/>
                <w:lang w:eastAsia="ko-KR"/>
              </w:rPr>
              <w:t>Conclusion</w:t>
            </w:r>
          </w:p>
          <w:p w:rsidR="00352FF1" w:rsidRPr="002B690E" w:rsidRDefault="00352FF1" w:rsidP="00352FF1">
            <w:pPr>
              <w:snapToGrid w:val="0"/>
              <w:rPr>
                <w:rFonts w:eastAsia="Malgun Gothic"/>
                <w:sz w:val="20"/>
                <w:szCs w:val="20"/>
                <w:lang w:eastAsia="ko-KR"/>
              </w:rPr>
            </w:pPr>
            <w:r w:rsidRPr="002B690E">
              <w:rPr>
                <w:rFonts w:eastAsia="Malgun Gothic"/>
                <w:sz w:val="20"/>
                <w:szCs w:val="20"/>
              </w:rPr>
              <w:t>For the Rel-19 aperiodic standalone CJT calibration reporting, when ReportQuantity is ‘cjtc-P’ (DL/UL phase offset), regarding the number of configured associated SRS resource(s) (=Q) for antenna switching xTyR and the number of SRS ports (=P</w:t>
            </w:r>
            <w:r w:rsidRPr="002B690E">
              <w:rPr>
                <w:rFonts w:eastAsia="Malgun Gothic"/>
                <w:sz w:val="20"/>
                <w:szCs w:val="20"/>
                <w:vertAlign w:val="subscript"/>
              </w:rPr>
              <w:t>SRS</w:t>
            </w:r>
            <w:r w:rsidRPr="002B690E">
              <w:rPr>
                <w:rFonts w:eastAsia="Malgun Gothic"/>
                <w:sz w:val="20"/>
                <w:szCs w:val="20"/>
              </w:rPr>
              <w:t>) corresponding to the ‘reference UE antenna port’, there is no consensus to support the following:</w:t>
            </w:r>
          </w:p>
          <w:p w:rsidR="00352FF1" w:rsidRPr="002B690E" w:rsidRDefault="00352FF1" w:rsidP="00352FF1">
            <w:pPr>
              <w:numPr>
                <w:ilvl w:val="0"/>
                <w:numId w:val="981"/>
              </w:numPr>
              <w:snapToGrid w:val="0"/>
              <w:contextualSpacing/>
              <w:rPr>
                <w:rFonts w:eastAsia="Malgun Gothic"/>
                <w:sz w:val="20"/>
                <w:szCs w:val="20"/>
              </w:rPr>
            </w:pPr>
            <w:r w:rsidRPr="002B690E">
              <w:rPr>
                <w:rFonts w:eastAsia="Malgun Gothic"/>
                <w:sz w:val="20"/>
                <w:szCs w:val="20"/>
              </w:rPr>
              <w:t xml:space="preserve">Q&gt;1 </w:t>
            </w:r>
          </w:p>
          <w:p w:rsidR="00352FF1" w:rsidRPr="002B690E" w:rsidRDefault="00352FF1" w:rsidP="00352FF1">
            <w:pPr>
              <w:numPr>
                <w:ilvl w:val="0"/>
                <w:numId w:val="981"/>
              </w:numPr>
              <w:snapToGrid w:val="0"/>
              <w:contextualSpacing/>
              <w:rPr>
                <w:rFonts w:eastAsia="Malgun Gothic"/>
                <w:sz w:val="20"/>
                <w:szCs w:val="20"/>
              </w:rPr>
            </w:pPr>
            <w:r w:rsidRPr="002B690E">
              <w:rPr>
                <w:rFonts w:eastAsia="Malgun Gothic"/>
                <w:sz w:val="20"/>
                <w:szCs w:val="20"/>
              </w:rPr>
              <w:t>P</w:t>
            </w:r>
            <w:r w:rsidRPr="002B690E">
              <w:rPr>
                <w:rFonts w:eastAsia="Malgun Gothic"/>
                <w:sz w:val="20"/>
                <w:szCs w:val="20"/>
                <w:vertAlign w:val="subscript"/>
              </w:rPr>
              <w:t>SRS</w:t>
            </w:r>
            <w:r w:rsidRPr="002B690E">
              <w:rPr>
                <w:rFonts w:eastAsia="Malgun Gothic"/>
                <w:sz w:val="20"/>
                <w:szCs w:val="20"/>
              </w:rPr>
              <w:t xml:space="preserve"> &gt;1</w:t>
            </w:r>
          </w:p>
          <w:p w:rsidR="00352FF1" w:rsidRPr="002B690E" w:rsidRDefault="00352FF1" w:rsidP="00352FF1">
            <w:pPr>
              <w:snapToGrid w:val="0"/>
              <w:rPr>
                <w:rFonts w:eastAsia="Malgun Gothic"/>
                <w:sz w:val="20"/>
                <w:szCs w:val="20"/>
              </w:rPr>
            </w:pPr>
            <w:r w:rsidRPr="002B690E">
              <w:rPr>
                <w:sz w:val="20"/>
                <w:szCs w:val="20"/>
              </w:rPr>
              <w:t xml:space="preserve">Note: This implies no support for configuring &gt;1 SRS resource sets for associated SRS when </w:t>
            </w:r>
            <w:r w:rsidRPr="002B690E">
              <w:rPr>
                <w:rFonts w:eastAsia="Malgun Gothic"/>
                <w:sz w:val="20"/>
                <w:szCs w:val="20"/>
              </w:rPr>
              <w:t>ReportQuantity is ‘cjtc-P’ (DL/UL phase offset).</w:t>
            </w:r>
          </w:p>
          <w:p w:rsidR="00352FF1" w:rsidRPr="002B690E" w:rsidRDefault="00352FF1" w:rsidP="00352FF1">
            <w:pPr>
              <w:snapToGrid w:val="0"/>
              <w:rPr>
                <w:sz w:val="20"/>
                <w:szCs w:val="20"/>
              </w:rPr>
            </w:pPr>
            <w:r w:rsidRPr="002B690E">
              <w:rPr>
                <w:rFonts w:eastAsia="Malgun Gothic"/>
                <w:sz w:val="20"/>
                <w:szCs w:val="20"/>
              </w:rPr>
              <w:t>Note: There is a source R1-2407184 showing performance benefit of using multiple UE antenna ports non-coherent with each other</w:t>
            </w:r>
          </w:p>
          <w:p w:rsidR="00352FF1" w:rsidRPr="002B690E" w:rsidRDefault="00352FF1" w:rsidP="00352FF1">
            <w:pPr>
              <w:snapToGrid w:val="0"/>
              <w:spacing w:line="259" w:lineRule="auto"/>
              <w:rPr>
                <w:rFonts w:eastAsia="Malgun Gothic"/>
                <w:sz w:val="20"/>
                <w:szCs w:val="20"/>
                <w:lang w:eastAsia="ko-KR"/>
              </w:rPr>
            </w:pPr>
          </w:p>
          <w:p w:rsidR="00352FF1" w:rsidRPr="002B690E" w:rsidRDefault="00352FF1" w:rsidP="00352FF1">
            <w:pPr>
              <w:rPr>
                <w:b/>
                <w:bCs/>
                <w:sz w:val="20"/>
                <w:szCs w:val="20"/>
                <w:highlight w:val="green"/>
                <w:lang w:eastAsia="x-none"/>
              </w:rPr>
            </w:pPr>
            <w:r w:rsidRPr="002B690E">
              <w:rPr>
                <w:b/>
                <w:bCs/>
                <w:sz w:val="20"/>
                <w:szCs w:val="20"/>
                <w:highlight w:val="green"/>
                <w:lang w:eastAsia="x-none"/>
              </w:rPr>
              <w:t>Agreement</w:t>
            </w:r>
          </w:p>
          <w:p w:rsidR="00352FF1" w:rsidRPr="002B690E" w:rsidRDefault="00352FF1" w:rsidP="00352FF1">
            <w:pPr>
              <w:snapToGrid w:val="0"/>
              <w:rPr>
                <w:rFonts w:eastAsia="Malgun Gothic"/>
                <w:sz w:val="20"/>
                <w:szCs w:val="20"/>
              </w:rPr>
            </w:pPr>
            <w:r w:rsidRPr="002B690E">
              <w:rPr>
                <w:rFonts w:eastAsia="Malgun Gothic"/>
                <w:sz w:val="20"/>
                <w:szCs w:val="20"/>
              </w:rPr>
              <w:t xml:space="preserve">For the Rel-19 aperiodic standalone CJT calibration reporting, when ReportQuantity is ‘cjtc-P’ (DL/UL phase offset), </w:t>
            </w:r>
          </w:p>
          <w:p w:rsidR="00352FF1" w:rsidRPr="002B690E" w:rsidRDefault="00352FF1" w:rsidP="00352FF1">
            <w:pPr>
              <w:pStyle w:val="ListParagraph"/>
              <w:numPr>
                <w:ilvl w:val="0"/>
                <w:numId w:val="1038"/>
              </w:numPr>
              <w:snapToGrid w:val="0"/>
              <w:ind w:leftChars="0"/>
              <w:contextualSpacing/>
              <w:rPr>
                <w:rFonts w:ascii="Times New Roman" w:eastAsia="Malgun Gothic" w:hAnsi="Times New Roman"/>
                <w:szCs w:val="20"/>
              </w:rPr>
            </w:pPr>
            <w:r w:rsidRPr="002B690E">
              <w:rPr>
                <w:rFonts w:ascii="Times New Roman" w:eastAsia="Malgun Gothic" w:hAnsi="Times New Roman"/>
                <w:szCs w:val="20"/>
              </w:rPr>
              <w:t>The supported value(s) of x follows the supported configuration(s) of SRS resource for antenna switching xTyR used for reciprocity-based DL CSI acquisition</w:t>
            </w:r>
          </w:p>
          <w:p w:rsidR="00352FF1" w:rsidRPr="002B690E" w:rsidRDefault="00352FF1" w:rsidP="00352FF1">
            <w:pPr>
              <w:pStyle w:val="ListParagraph"/>
              <w:numPr>
                <w:ilvl w:val="1"/>
                <w:numId w:val="1038"/>
              </w:numPr>
              <w:snapToGrid w:val="0"/>
              <w:ind w:leftChars="0"/>
              <w:contextualSpacing/>
              <w:rPr>
                <w:rFonts w:ascii="Times New Roman" w:eastAsia="Malgun Gothic" w:hAnsi="Times New Roman"/>
                <w:szCs w:val="20"/>
              </w:rPr>
            </w:pPr>
            <w:r w:rsidRPr="002B690E">
              <w:rPr>
                <w:rFonts w:ascii="Times New Roman" w:eastAsia="Malgun Gothic" w:hAnsi="Times New Roman"/>
                <w:szCs w:val="20"/>
              </w:rPr>
              <w:t>Note: This doesn’t have any spec impact (no new RRC parameter is needed)</w:t>
            </w:r>
          </w:p>
          <w:p w:rsidR="00352FF1" w:rsidRPr="002B690E" w:rsidRDefault="00352FF1" w:rsidP="00352FF1">
            <w:pPr>
              <w:pStyle w:val="ListParagraph"/>
              <w:numPr>
                <w:ilvl w:val="0"/>
                <w:numId w:val="1038"/>
              </w:numPr>
              <w:snapToGrid w:val="0"/>
              <w:ind w:leftChars="0"/>
              <w:contextualSpacing/>
              <w:rPr>
                <w:rFonts w:ascii="Times New Roman" w:eastAsia="Malgun Gothic" w:hAnsi="Times New Roman"/>
                <w:szCs w:val="20"/>
              </w:rPr>
            </w:pPr>
            <w:r w:rsidRPr="002B690E">
              <w:rPr>
                <w:rFonts w:ascii="Times New Roman" w:eastAsia="Malgun Gothic" w:hAnsi="Times New Roman"/>
                <w:szCs w:val="20"/>
              </w:rPr>
              <w:t>For the selection of P</w:t>
            </w:r>
            <w:r w:rsidRPr="002B690E">
              <w:rPr>
                <w:rFonts w:ascii="Times New Roman" w:eastAsia="Malgun Gothic" w:hAnsi="Times New Roman"/>
                <w:szCs w:val="20"/>
                <w:vertAlign w:val="subscript"/>
              </w:rPr>
              <w:t>SRS</w:t>
            </w:r>
            <w:r w:rsidRPr="002B690E">
              <w:rPr>
                <w:rFonts w:ascii="Times New Roman" w:eastAsia="Malgun Gothic" w:hAnsi="Times New Roman"/>
                <w:szCs w:val="20"/>
              </w:rPr>
              <w:t>=1 SRS port corresponding to the ‘reference UE antenna port’ (out of the available port(s)), decide, by RAN1#118, from the following schemes:</w:t>
            </w:r>
          </w:p>
          <w:p w:rsidR="00352FF1" w:rsidRPr="002B690E" w:rsidRDefault="00352FF1" w:rsidP="00352FF1">
            <w:pPr>
              <w:pStyle w:val="ListParagraph"/>
              <w:numPr>
                <w:ilvl w:val="1"/>
                <w:numId w:val="1038"/>
              </w:numPr>
              <w:snapToGrid w:val="0"/>
              <w:ind w:leftChars="0"/>
              <w:contextualSpacing/>
              <w:rPr>
                <w:rFonts w:ascii="Times New Roman" w:eastAsia="Malgun Gothic" w:hAnsi="Times New Roman"/>
                <w:szCs w:val="20"/>
              </w:rPr>
            </w:pPr>
            <w:r w:rsidRPr="002B690E">
              <w:rPr>
                <w:rFonts w:ascii="Times New Roman" w:eastAsia="Malgun Gothic" w:hAnsi="Times New Roman"/>
                <w:szCs w:val="20"/>
              </w:rPr>
              <w:t>Scheme1: NW-configured via higher-layer (RRC) signalling</w:t>
            </w:r>
          </w:p>
          <w:p w:rsidR="00352FF1" w:rsidRPr="002B690E" w:rsidRDefault="00352FF1" w:rsidP="00352FF1">
            <w:pPr>
              <w:pStyle w:val="ListParagraph"/>
              <w:numPr>
                <w:ilvl w:val="1"/>
                <w:numId w:val="1038"/>
              </w:numPr>
              <w:snapToGrid w:val="0"/>
              <w:ind w:leftChars="0"/>
              <w:contextualSpacing/>
              <w:rPr>
                <w:rFonts w:ascii="Times New Roman" w:eastAsia="Malgun Gothic" w:hAnsi="Times New Roman"/>
                <w:szCs w:val="20"/>
              </w:rPr>
            </w:pPr>
            <w:r w:rsidRPr="002B690E">
              <w:rPr>
                <w:rFonts w:ascii="Times New Roman" w:eastAsia="Malgun Gothic" w:hAnsi="Times New Roman"/>
                <w:szCs w:val="20"/>
              </w:rPr>
              <w:t>Scheme1B: NW dynamic selection via MAC CE or A-CSI triggering (DCI)</w:t>
            </w:r>
          </w:p>
          <w:p w:rsidR="00352FF1" w:rsidRPr="002B690E" w:rsidRDefault="00352FF1" w:rsidP="00352FF1">
            <w:pPr>
              <w:pStyle w:val="ListParagraph"/>
              <w:numPr>
                <w:ilvl w:val="1"/>
                <w:numId w:val="1038"/>
              </w:numPr>
              <w:snapToGrid w:val="0"/>
              <w:ind w:leftChars="0"/>
              <w:contextualSpacing/>
              <w:rPr>
                <w:rFonts w:ascii="Times New Roman" w:eastAsia="Malgun Gothic" w:hAnsi="Times New Roman"/>
                <w:szCs w:val="20"/>
              </w:rPr>
            </w:pPr>
            <w:r w:rsidRPr="002B690E">
              <w:rPr>
                <w:rFonts w:ascii="Times New Roman" w:eastAsia="Malgun Gothic" w:hAnsi="Times New Roman"/>
                <w:szCs w:val="20"/>
              </w:rPr>
              <w:t xml:space="preserve">Scheme2: UE-selected, </w:t>
            </w:r>
            <w:r w:rsidRPr="002B690E">
              <w:rPr>
                <w:rFonts w:ascii="Times New Roman" w:eastAsia="Times New Roman" w:hAnsi="Times New Roman"/>
                <w:color w:val="000000"/>
                <w:szCs w:val="20"/>
                <w:lang w:eastAsia="zh-TW"/>
              </w:rPr>
              <w:t>the selection included in the phase offset report</w:t>
            </w:r>
          </w:p>
          <w:p w:rsidR="00352FF1" w:rsidRPr="002B690E" w:rsidRDefault="00352FF1" w:rsidP="00352FF1">
            <w:pPr>
              <w:pStyle w:val="ListParagraph"/>
              <w:numPr>
                <w:ilvl w:val="1"/>
                <w:numId w:val="1038"/>
              </w:numPr>
              <w:snapToGrid w:val="0"/>
              <w:ind w:leftChars="0"/>
              <w:contextualSpacing/>
              <w:rPr>
                <w:rFonts w:ascii="Times New Roman" w:eastAsia="Malgun Gothic" w:hAnsi="Times New Roman"/>
                <w:szCs w:val="20"/>
              </w:rPr>
            </w:pPr>
            <w:r w:rsidRPr="002B690E">
              <w:rPr>
                <w:rFonts w:ascii="Times New Roman" w:eastAsia="Malgun Gothic" w:hAnsi="Times New Roman"/>
                <w:szCs w:val="20"/>
              </w:rPr>
              <w:t>Scheme3: Fixed rule, e.g. the first out of the available port(s)</w:t>
            </w:r>
          </w:p>
          <w:p w:rsidR="00352FF1" w:rsidRPr="002B690E" w:rsidRDefault="00352FF1" w:rsidP="00352FF1">
            <w:pPr>
              <w:snapToGrid w:val="0"/>
              <w:rPr>
                <w:sz w:val="20"/>
                <w:szCs w:val="20"/>
              </w:rPr>
            </w:pPr>
            <w:r w:rsidRPr="002B690E">
              <w:rPr>
                <w:sz w:val="20"/>
                <w:szCs w:val="20"/>
              </w:rPr>
              <w:t>FFS:</w:t>
            </w:r>
          </w:p>
          <w:p w:rsidR="00352FF1" w:rsidRPr="002B690E" w:rsidRDefault="00352FF1" w:rsidP="00352FF1">
            <w:pPr>
              <w:pStyle w:val="ListParagraph"/>
              <w:numPr>
                <w:ilvl w:val="0"/>
                <w:numId w:val="1039"/>
              </w:numPr>
              <w:snapToGrid w:val="0"/>
              <w:ind w:leftChars="0"/>
              <w:contextualSpacing/>
              <w:rPr>
                <w:rFonts w:ascii="Times New Roman" w:hAnsi="Times New Roman"/>
                <w:szCs w:val="20"/>
              </w:rPr>
            </w:pPr>
            <w:r w:rsidRPr="002B690E">
              <w:rPr>
                <w:rFonts w:ascii="Times New Roman" w:hAnsi="Times New Roman"/>
                <w:szCs w:val="20"/>
              </w:rPr>
              <w:t>Whether/how to identify the transmission occasion of the Q=1 associated SRS resource to determine the reference UE antenna port in relation to the CSI request and/or SRS triggering</w:t>
            </w:r>
          </w:p>
          <w:p w:rsidR="00352FF1" w:rsidRPr="002B690E" w:rsidRDefault="00352FF1" w:rsidP="00352FF1">
            <w:pPr>
              <w:pStyle w:val="ListParagraph"/>
              <w:numPr>
                <w:ilvl w:val="0"/>
                <w:numId w:val="1039"/>
              </w:numPr>
              <w:snapToGrid w:val="0"/>
              <w:ind w:leftChars="0"/>
              <w:contextualSpacing/>
              <w:rPr>
                <w:rFonts w:ascii="Times New Roman" w:hAnsi="Times New Roman"/>
                <w:szCs w:val="20"/>
              </w:rPr>
            </w:pPr>
            <w:r w:rsidRPr="002B690E">
              <w:rPr>
                <w:rFonts w:ascii="Times New Roman" w:hAnsi="Times New Roman"/>
                <w:szCs w:val="20"/>
              </w:rPr>
              <w:t>The supported time-domain behaviour(s) for the associated SRS resource (periodic, semi-persistent, aperiodic)</w:t>
            </w:r>
          </w:p>
          <w:p w:rsidR="00352FF1" w:rsidRPr="002B690E" w:rsidRDefault="00352FF1" w:rsidP="00352FF1">
            <w:pPr>
              <w:pStyle w:val="ListParagraph"/>
              <w:numPr>
                <w:ilvl w:val="1"/>
                <w:numId w:val="1039"/>
              </w:numPr>
              <w:snapToGrid w:val="0"/>
              <w:ind w:leftChars="0"/>
              <w:contextualSpacing/>
              <w:rPr>
                <w:rFonts w:ascii="Times New Roman" w:hAnsi="Times New Roman"/>
                <w:szCs w:val="20"/>
              </w:rPr>
            </w:pPr>
            <w:r w:rsidRPr="002B690E">
              <w:rPr>
                <w:rFonts w:ascii="Times New Roman" w:hAnsi="Times New Roman"/>
                <w:szCs w:val="20"/>
              </w:rPr>
              <w:t>In case the NW configures the Q=1 associated SRS resource from an existing SP and/or AP SRS antenna switching resource configuration for DL CSI acquisition (which utilizes dynamic signalling), whether/how to identify the Q=1 associated SRS resource</w:t>
            </w:r>
          </w:p>
          <w:p w:rsidR="00352FF1" w:rsidRPr="002B690E" w:rsidRDefault="00352FF1" w:rsidP="00352FF1">
            <w:pPr>
              <w:rPr>
                <w:iCs/>
                <w:sz w:val="20"/>
                <w:szCs w:val="20"/>
                <w:lang w:eastAsia="x-none"/>
              </w:rPr>
            </w:pPr>
          </w:p>
          <w:p w:rsidR="00352FF1" w:rsidRPr="002B690E" w:rsidRDefault="00352FF1" w:rsidP="00352FF1">
            <w:pPr>
              <w:rPr>
                <w:b/>
                <w:bCs/>
                <w:sz w:val="20"/>
                <w:szCs w:val="20"/>
                <w:highlight w:val="green"/>
                <w:lang w:eastAsia="x-none"/>
              </w:rPr>
            </w:pPr>
            <w:r w:rsidRPr="002B690E">
              <w:rPr>
                <w:b/>
                <w:bCs/>
                <w:sz w:val="20"/>
                <w:szCs w:val="20"/>
                <w:highlight w:val="green"/>
                <w:lang w:eastAsia="x-none"/>
              </w:rPr>
              <w:t>Agreement</w:t>
            </w:r>
          </w:p>
          <w:p w:rsidR="00352FF1" w:rsidRPr="002B690E" w:rsidRDefault="00352FF1" w:rsidP="00352FF1">
            <w:pPr>
              <w:snapToGrid w:val="0"/>
              <w:rPr>
                <w:strike/>
                <w:sz w:val="20"/>
                <w:szCs w:val="20"/>
              </w:rPr>
            </w:pPr>
            <w:r w:rsidRPr="002B690E">
              <w:rPr>
                <w:rFonts w:eastAsia="Calibri"/>
                <w:sz w:val="20"/>
                <w:szCs w:val="20"/>
              </w:rPr>
              <w:t xml:space="preserve">For the Rel-19 aperiodic standalone CJT calibration (CJTC) reporting, to facilitate UE-specific </w:t>
            </w:r>
            <w:r w:rsidRPr="002B690E">
              <w:rPr>
                <w:sz w:val="20"/>
                <w:szCs w:val="20"/>
              </w:rPr>
              <w:t xml:space="preserve">delay offset pre-compensation on PDSCH by the NW, </w:t>
            </w:r>
            <w:r w:rsidRPr="002B690E">
              <w:rPr>
                <w:i/>
                <w:sz w:val="20"/>
                <w:szCs w:val="20"/>
                <w:u w:val="single"/>
              </w:rPr>
              <w:t>decide</w:t>
            </w:r>
            <w:r w:rsidRPr="002B690E">
              <w:rPr>
                <w:sz w:val="20"/>
                <w:szCs w:val="20"/>
              </w:rPr>
              <w:t xml:space="preserve">, by RAN1#118, whether to support configuring a UE (via RRC signaling) to perform PMI calculation for the Rel-18 eType-II CJT CSI report assuming pre-compensation using the UE-reported delay offset (when ReportQuantity is ‘cjtc-Dd’). And if supported, whether any of the following is additionally supported or not: </w:t>
            </w:r>
          </w:p>
          <w:p w:rsidR="00352FF1" w:rsidRPr="002B690E" w:rsidRDefault="00352FF1" w:rsidP="00352FF1">
            <w:pPr>
              <w:pStyle w:val="ListParagraph"/>
              <w:numPr>
                <w:ilvl w:val="0"/>
                <w:numId w:val="983"/>
              </w:numPr>
              <w:snapToGrid w:val="0"/>
              <w:ind w:leftChars="0" w:left="400" w:hanging="400"/>
              <w:rPr>
                <w:rFonts w:ascii="Times New Roman" w:hAnsi="Times New Roman"/>
                <w:szCs w:val="20"/>
              </w:rPr>
            </w:pPr>
            <w:r w:rsidRPr="002B690E">
              <w:rPr>
                <w:rFonts w:ascii="Times New Roman" w:hAnsi="Times New Roman"/>
                <w:szCs w:val="20"/>
              </w:rPr>
              <w:t>NW indicates the delay offset value to be compensated for the Rel-18 eType-II CJT CSI report, and/or</w:t>
            </w:r>
          </w:p>
          <w:p w:rsidR="00352FF1" w:rsidRPr="002B690E" w:rsidRDefault="00352FF1" w:rsidP="00352FF1">
            <w:pPr>
              <w:pStyle w:val="ListParagraph"/>
              <w:numPr>
                <w:ilvl w:val="0"/>
                <w:numId w:val="983"/>
              </w:numPr>
              <w:snapToGrid w:val="0"/>
              <w:ind w:leftChars="0" w:left="400" w:hanging="400"/>
              <w:rPr>
                <w:rFonts w:ascii="Times New Roman" w:hAnsi="Times New Roman"/>
                <w:szCs w:val="20"/>
              </w:rPr>
            </w:pPr>
            <w:r w:rsidRPr="002B690E">
              <w:rPr>
                <w:rFonts w:ascii="Times New Roman" w:hAnsi="Times New Roman"/>
                <w:szCs w:val="20"/>
              </w:rPr>
              <w:t>The two separately configured reports (i.e. Rel-18 eType-II CJT CSI report and the CJTC delay offset report) are always jointly triggered and carried on a same PUSCH (hence on a same slot)</w:t>
            </w:r>
          </w:p>
          <w:p w:rsidR="00352FF1" w:rsidRPr="002B690E" w:rsidRDefault="00352FF1" w:rsidP="00352FF1">
            <w:pPr>
              <w:pStyle w:val="ListParagraph"/>
              <w:numPr>
                <w:ilvl w:val="0"/>
                <w:numId w:val="983"/>
              </w:numPr>
              <w:snapToGrid w:val="0"/>
              <w:ind w:leftChars="0" w:left="400" w:hanging="400"/>
              <w:rPr>
                <w:rFonts w:ascii="Times New Roman" w:hAnsi="Times New Roman"/>
                <w:szCs w:val="20"/>
              </w:rPr>
            </w:pPr>
            <w:r w:rsidRPr="002B690E">
              <w:rPr>
                <w:rFonts w:ascii="Times New Roman" w:hAnsi="Times New Roman"/>
                <w:bCs/>
                <w:szCs w:val="20"/>
              </w:rPr>
              <w:lastRenderedPageBreak/>
              <w:t>The delay offset value to be compensated is the latest reported DO before the DCI triggering the CJT CSI reporting</w:t>
            </w:r>
          </w:p>
          <w:p w:rsidR="00352FF1" w:rsidRPr="002B690E" w:rsidRDefault="00352FF1" w:rsidP="00352FF1">
            <w:pPr>
              <w:snapToGrid w:val="0"/>
              <w:rPr>
                <w:sz w:val="20"/>
                <w:szCs w:val="20"/>
              </w:rPr>
            </w:pPr>
            <w:r w:rsidRPr="002B690E">
              <w:rPr>
                <w:sz w:val="20"/>
                <w:szCs w:val="20"/>
              </w:rPr>
              <w:t>FFS: AP-CSI-RS can be configured for the Rel-18 eType-II CJT report</w:t>
            </w:r>
          </w:p>
          <w:p w:rsidR="00352FF1" w:rsidRPr="002B690E" w:rsidRDefault="00352FF1" w:rsidP="00352FF1">
            <w:pPr>
              <w:snapToGrid w:val="0"/>
              <w:rPr>
                <w:sz w:val="20"/>
                <w:szCs w:val="20"/>
              </w:rPr>
            </w:pPr>
            <w:r w:rsidRPr="002B690E">
              <w:rPr>
                <w:sz w:val="20"/>
                <w:szCs w:val="20"/>
              </w:rPr>
              <w:t>The above only applies when the CMRs do not share common QCL source for average delay indication</w:t>
            </w:r>
          </w:p>
          <w:p w:rsidR="00352FF1" w:rsidRPr="002B690E" w:rsidRDefault="00352FF1" w:rsidP="00352FF1">
            <w:pPr>
              <w:snapToGrid w:val="0"/>
              <w:rPr>
                <w:sz w:val="20"/>
                <w:szCs w:val="20"/>
              </w:rPr>
            </w:pPr>
          </w:p>
          <w:p w:rsidR="00352FF1" w:rsidRPr="002B690E" w:rsidRDefault="00352FF1" w:rsidP="00352FF1">
            <w:pPr>
              <w:rPr>
                <w:b/>
                <w:bCs/>
                <w:sz w:val="20"/>
                <w:szCs w:val="20"/>
                <w:highlight w:val="green"/>
                <w:lang w:eastAsia="x-none"/>
              </w:rPr>
            </w:pPr>
            <w:r w:rsidRPr="002B690E">
              <w:rPr>
                <w:b/>
                <w:bCs/>
                <w:sz w:val="20"/>
                <w:szCs w:val="20"/>
                <w:highlight w:val="green"/>
                <w:lang w:eastAsia="x-none"/>
              </w:rPr>
              <w:t>Agreement</w:t>
            </w:r>
          </w:p>
          <w:p w:rsidR="00352FF1" w:rsidRPr="002B690E" w:rsidRDefault="00352FF1" w:rsidP="00352FF1">
            <w:pPr>
              <w:snapToGrid w:val="0"/>
              <w:rPr>
                <w:strike/>
                <w:sz w:val="20"/>
                <w:szCs w:val="20"/>
              </w:rPr>
            </w:pPr>
            <w:r w:rsidRPr="002B690E">
              <w:rPr>
                <w:rFonts w:eastAsia="Calibri"/>
                <w:sz w:val="20"/>
                <w:szCs w:val="20"/>
              </w:rPr>
              <w:t xml:space="preserve">For the Rel-19 aperiodic standalone CJT calibration (CJTC) reporting, to facilitate UE-specific </w:t>
            </w:r>
            <w:r w:rsidRPr="002B690E">
              <w:rPr>
                <w:sz w:val="20"/>
                <w:szCs w:val="20"/>
              </w:rPr>
              <w:t xml:space="preserve">frequency offset pre-compensation on PDSCH by the NW, </w:t>
            </w:r>
            <w:r w:rsidRPr="002B690E">
              <w:rPr>
                <w:i/>
                <w:sz w:val="20"/>
                <w:szCs w:val="20"/>
                <w:u w:val="single"/>
              </w:rPr>
              <w:t>decide</w:t>
            </w:r>
            <w:r w:rsidRPr="002B690E">
              <w:rPr>
                <w:sz w:val="20"/>
                <w:szCs w:val="20"/>
              </w:rPr>
              <w:t xml:space="preserve">, by RAN1#118, whether to support configuring a UE (via RRC signaling) to perform PMI calculation for the Rel-18 eType-II CJT CSI report assuming pre-compensation using the UE-reported frequency offset (when ReportQuantity is ‘cjtc-F’). And if supported, whether any of the following is additionally supported or not: </w:t>
            </w:r>
          </w:p>
          <w:p w:rsidR="00352FF1" w:rsidRPr="002B690E" w:rsidRDefault="00352FF1" w:rsidP="00352FF1">
            <w:pPr>
              <w:pStyle w:val="ListParagraph"/>
              <w:numPr>
                <w:ilvl w:val="0"/>
                <w:numId w:val="983"/>
              </w:numPr>
              <w:snapToGrid w:val="0"/>
              <w:ind w:leftChars="0" w:left="400" w:hanging="400"/>
              <w:rPr>
                <w:rFonts w:ascii="Times New Roman" w:hAnsi="Times New Roman"/>
                <w:szCs w:val="20"/>
              </w:rPr>
            </w:pPr>
            <w:r w:rsidRPr="002B690E">
              <w:rPr>
                <w:rFonts w:ascii="Times New Roman" w:hAnsi="Times New Roman"/>
                <w:szCs w:val="20"/>
              </w:rPr>
              <w:t>NW indicates the frequency offset value to be compensated for the Rel-18 eType-II CJT CSI report, and/or</w:t>
            </w:r>
          </w:p>
          <w:p w:rsidR="00352FF1" w:rsidRPr="002B690E" w:rsidRDefault="00352FF1" w:rsidP="00352FF1">
            <w:pPr>
              <w:pStyle w:val="ListParagraph"/>
              <w:numPr>
                <w:ilvl w:val="0"/>
                <w:numId w:val="983"/>
              </w:numPr>
              <w:snapToGrid w:val="0"/>
              <w:ind w:leftChars="0" w:left="400" w:hanging="400"/>
              <w:rPr>
                <w:rFonts w:ascii="Times New Roman" w:hAnsi="Times New Roman"/>
                <w:szCs w:val="20"/>
              </w:rPr>
            </w:pPr>
            <w:r w:rsidRPr="002B690E">
              <w:rPr>
                <w:rFonts w:ascii="Times New Roman" w:hAnsi="Times New Roman"/>
                <w:szCs w:val="20"/>
              </w:rPr>
              <w:t>The two separately configured reports (i.e. Rel-18 eType-II CJT CSI report and the CJTC frequency offset report) are always jointly triggered and carried on a same PUSCH (hence on a same slot)</w:t>
            </w:r>
          </w:p>
          <w:p w:rsidR="00352FF1" w:rsidRPr="002B690E" w:rsidRDefault="00352FF1" w:rsidP="00352FF1">
            <w:pPr>
              <w:pStyle w:val="ListParagraph"/>
              <w:numPr>
                <w:ilvl w:val="0"/>
                <w:numId w:val="983"/>
              </w:numPr>
              <w:snapToGrid w:val="0"/>
              <w:ind w:leftChars="0" w:left="400" w:hanging="400"/>
              <w:rPr>
                <w:rFonts w:ascii="Times New Roman" w:hAnsi="Times New Roman"/>
                <w:szCs w:val="20"/>
              </w:rPr>
            </w:pPr>
            <w:r w:rsidRPr="002B690E">
              <w:rPr>
                <w:rFonts w:ascii="Times New Roman" w:hAnsi="Times New Roman"/>
                <w:bCs/>
                <w:szCs w:val="20"/>
              </w:rPr>
              <w:t>The frequency offset value to be compensated is the latest reported fO before the DCI triggering the CJT CSI reporting</w:t>
            </w:r>
          </w:p>
          <w:p w:rsidR="00352FF1" w:rsidRPr="002B690E" w:rsidRDefault="00352FF1" w:rsidP="00352FF1">
            <w:pPr>
              <w:snapToGrid w:val="0"/>
              <w:rPr>
                <w:sz w:val="20"/>
                <w:szCs w:val="20"/>
              </w:rPr>
            </w:pPr>
            <w:r w:rsidRPr="002B690E">
              <w:rPr>
                <w:sz w:val="20"/>
                <w:szCs w:val="20"/>
              </w:rPr>
              <w:t>FFS: AP-CSI-RS can be configured for the Rel-18 eType-II CJT report</w:t>
            </w:r>
          </w:p>
          <w:p w:rsidR="00352FF1" w:rsidRPr="002B690E" w:rsidRDefault="00352FF1" w:rsidP="00352FF1">
            <w:pPr>
              <w:snapToGrid w:val="0"/>
              <w:rPr>
                <w:sz w:val="20"/>
                <w:szCs w:val="20"/>
              </w:rPr>
            </w:pPr>
            <w:r w:rsidRPr="002B690E">
              <w:rPr>
                <w:sz w:val="20"/>
                <w:szCs w:val="20"/>
              </w:rPr>
              <w:t>The above only applies when the CMRs do not share common QCL source for Doppler shift indication</w:t>
            </w:r>
          </w:p>
          <w:p w:rsidR="00352FF1" w:rsidRPr="002B690E" w:rsidRDefault="00352FF1" w:rsidP="00352FF1">
            <w:pPr>
              <w:snapToGrid w:val="0"/>
              <w:rPr>
                <w:sz w:val="20"/>
                <w:szCs w:val="20"/>
              </w:rPr>
            </w:pPr>
          </w:p>
          <w:p w:rsidR="00352FF1" w:rsidRPr="002B690E" w:rsidRDefault="00352FF1" w:rsidP="00352FF1">
            <w:pPr>
              <w:snapToGrid w:val="0"/>
              <w:rPr>
                <w:rFonts w:eastAsia="DengXian"/>
                <w:b/>
                <w:bCs/>
                <w:sz w:val="20"/>
                <w:szCs w:val="20"/>
              </w:rPr>
            </w:pPr>
            <w:r w:rsidRPr="002B690E">
              <w:rPr>
                <w:rFonts w:eastAsia="DengXian"/>
                <w:b/>
                <w:bCs/>
                <w:sz w:val="20"/>
                <w:szCs w:val="20"/>
              </w:rPr>
              <w:t>Conclusion</w:t>
            </w:r>
          </w:p>
          <w:p w:rsidR="00352FF1" w:rsidRPr="002B690E" w:rsidRDefault="00352FF1" w:rsidP="00352FF1">
            <w:pPr>
              <w:snapToGrid w:val="0"/>
              <w:rPr>
                <w:rFonts w:eastAsia="Malgun Gothic"/>
                <w:sz w:val="20"/>
                <w:szCs w:val="20"/>
              </w:rPr>
            </w:pPr>
            <w:r w:rsidRPr="002B690E">
              <w:rPr>
                <w:rFonts w:eastAsia="Malgun Gothic"/>
                <w:sz w:val="20"/>
                <w:szCs w:val="20"/>
              </w:rPr>
              <w:t>For the Rel-19 aperiodic standalone CJT calibration reporting, there is no consensus to support the following reporting formats:</w:t>
            </w:r>
          </w:p>
          <w:p w:rsidR="00352FF1" w:rsidRPr="002B690E" w:rsidRDefault="00352FF1" w:rsidP="00352FF1">
            <w:pPr>
              <w:numPr>
                <w:ilvl w:val="0"/>
                <w:numId w:val="984"/>
              </w:numPr>
              <w:snapToGrid w:val="0"/>
              <w:contextualSpacing/>
              <w:rPr>
                <w:rFonts w:eastAsia="Malgun Gothic"/>
                <w:sz w:val="20"/>
                <w:szCs w:val="20"/>
              </w:rPr>
            </w:pPr>
            <w:r w:rsidRPr="002B690E">
              <w:rPr>
                <w:rFonts w:eastAsia="Malgun Gothic"/>
                <w:sz w:val="20"/>
                <w:szCs w:val="20"/>
              </w:rPr>
              <w:t>Joint FO + wideband PO reporting</w:t>
            </w:r>
          </w:p>
          <w:p w:rsidR="00352FF1" w:rsidRPr="002B690E" w:rsidRDefault="00352FF1" w:rsidP="00352FF1">
            <w:pPr>
              <w:numPr>
                <w:ilvl w:val="0"/>
                <w:numId w:val="984"/>
              </w:numPr>
              <w:snapToGrid w:val="0"/>
              <w:contextualSpacing/>
              <w:rPr>
                <w:rFonts w:eastAsia="Malgun Gothic"/>
                <w:sz w:val="20"/>
                <w:szCs w:val="20"/>
              </w:rPr>
            </w:pPr>
            <w:r w:rsidRPr="002B690E">
              <w:rPr>
                <w:rFonts w:eastAsia="Malgun Gothic"/>
                <w:sz w:val="20"/>
                <w:szCs w:val="20"/>
              </w:rPr>
              <w:t>Joint Dd + FO + wideband PO reporting</w:t>
            </w:r>
          </w:p>
          <w:p w:rsidR="00352FF1" w:rsidRPr="002B690E" w:rsidRDefault="00352FF1" w:rsidP="00352FF1">
            <w:pPr>
              <w:rPr>
                <w:iCs/>
                <w:sz w:val="20"/>
                <w:szCs w:val="20"/>
                <w:lang w:eastAsia="x-none"/>
              </w:rPr>
            </w:pPr>
          </w:p>
          <w:p w:rsidR="00352FF1" w:rsidRPr="002B690E" w:rsidRDefault="00352FF1" w:rsidP="00352FF1">
            <w:pPr>
              <w:rPr>
                <w:b/>
                <w:bCs/>
                <w:sz w:val="20"/>
                <w:szCs w:val="20"/>
                <w:highlight w:val="green"/>
                <w:lang w:eastAsia="x-none"/>
              </w:rPr>
            </w:pPr>
            <w:r w:rsidRPr="002B690E">
              <w:rPr>
                <w:b/>
                <w:bCs/>
                <w:sz w:val="20"/>
                <w:szCs w:val="20"/>
                <w:highlight w:val="green"/>
                <w:lang w:eastAsia="x-none"/>
              </w:rPr>
              <w:t>Agreement</w:t>
            </w:r>
          </w:p>
          <w:p w:rsidR="00352FF1" w:rsidRPr="002B690E" w:rsidRDefault="00352FF1" w:rsidP="00352FF1">
            <w:pPr>
              <w:snapToGrid w:val="0"/>
              <w:rPr>
                <w:rFonts w:eastAsia="Calibri"/>
                <w:sz w:val="20"/>
                <w:szCs w:val="20"/>
              </w:rPr>
            </w:pPr>
            <w:r w:rsidRPr="002B690E">
              <w:rPr>
                <w:rFonts w:eastAsia="Calibri"/>
                <w:sz w:val="20"/>
                <w:szCs w:val="20"/>
              </w:rPr>
              <w:t>For the Rel-19 aperiodic standalone CJT calibration reporting, regarding the resolution for frequency offset reporting FO</w:t>
            </w:r>
            <w:r w:rsidRPr="002B690E">
              <w:rPr>
                <w:rFonts w:eastAsia="Calibri"/>
                <w:sz w:val="20"/>
                <w:szCs w:val="20"/>
                <w:vertAlign w:val="subscript"/>
              </w:rPr>
              <w:t>n</w:t>
            </w:r>
            <w:r w:rsidRPr="002B690E">
              <w:rPr>
                <w:rFonts w:eastAsia="Calibri"/>
                <w:sz w:val="20"/>
                <w:szCs w:val="20"/>
              </w:rPr>
              <w:t>, additionally support M</w:t>
            </w:r>
            <w:r w:rsidRPr="002B690E">
              <w:rPr>
                <w:rFonts w:eastAsia="Calibri"/>
                <w:sz w:val="20"/>
                <w:szCs w:val="20"/>
                <w:vertAlign w:val="subscript"/>
              </w:rPr>
              <w:t>FO</w:t>
            </w:r>
            <w:r w:rsidRPr="002B690E">
              <w:rPr>
                <w:rFonts w:eastAsia="Calibri"/>
                <w:sz w:val="20"/>
                <w:szCs w:val="20"/>
              </w:rPr>
              <w:t xml:space="preserve"> = 256</w:t>
            </w:r>
          </w:p>
          <w:p w:rsidR="00352FF1" w:rsidRPr="002B690E" w:rsidRDefault="00352FF1" w:rsidP="00352FF1">
            <w:pPr>
              <w:rPr>
                <w:iCs/>
                <w:sz w:val="20"/>
                <w:szCs w:val="20"/>
                <w:lang w:eastAsia="x-none"/>
              </w:rPr>
            </w:pPr>
          </w:p>
          <w:p w:rsidR="00352FF1" w:rsidRPr="002B690E" w:rsidRDefault="00352FF1" w:rsidP="00352FF1">
            <w:pPr>
              <w:jc w:val="both"/>
              <w:rPr>
                <w:rFonts w:eastAsia="DengXian"/>
                <w:bCs/>
                <w:sz w:val="20"/>
                <w:szCs w:val="20"/>
              </w:rPr>
            </w:pPr>
            <w:r w:rsidRPr="002B690E">
              <w:rPr>
                <w:rFonts w:eastAsia="DengXian"/>
                <w:b/>
                <w:bCs/>
                <w:sz w:val="20"/>
                <w:szCs w:val="20"/>
              </w:rPr>
              <w:t>Conclusion</w:t>
            </w:r>
          </w:p>
          <w:p w:rsidR="00352FF1" w:rsidRPr="002B690E" w:rsidRDefault="00352FF1" w:rsidP="00352FF1">
            <w:pPr>
              <w:jc w:val="both"/>
              <w:rPr>
                <w:rFonts w:eastAsia="DengXian"/>
                <w:bCs/>
                <w:sz w:val="20"/>
                <w:szCs w:val="20"/>
              </w:rPr>
            </w:pPr>
            <w:r w:rsidRPr="002B690E">
              <w:rPr>
                <w:rFonts w:eastAsia="DengXian"/>
                <w:bCs/>
                <w:sz w:val="20"/>
                <w:szCs w:val="20"/>
              </w:rPr>
              <w:t xml:space="preserve">For the Rel-19 aperiodic standalone CJT calibration reporting, regarding the dynamic range for </w:t>
            </w:r>
            <w:r w:rsidRPr="002B690E">
              <w:rPr>
                <w:rFonts w:eastAsia="Calibri"/>
                <w:sz w:val="20"/>
                <w:szCs w:val="20"/>
              </w:rPr>
              <w:t>delay offset reporting D</w:t>
            </w:r>
            <w:r w:rsidRPr="002B690E">
              <w:rPr>
                <w:rFonts w:eastAsia="Calibri"/>
                <w:sz w:val="20"/>
                <w:szCs w:val="20"/>
                <w:vertAlign w:val="subscript"/>
              </w:rPr>
              <w:t>n,offset</w:t>
            </w:r>
            <w:r w:rsidRPr="002B690E">
              <w:rPr>
                <w:rFonts w:eastAsia="DengXian"/>
                <w:bCs/>
                <w:sz w:val="20"/>
                <w:szCs w:val="20"/>
              </w:rPr>
              <w:t xml:space="preserve"> and frequency offset reporting FO</w:t>
            </w:r>
            <w:r w:rsidRPr="002B690E">
              <w:rPr>
                <w:rFonts w:eastAsia="DengXian"/>
                <w:bCs/>
                <w:sz w:val="20"/>
                <w:szCs w:val="20"/>
                <w:vertAlign w:val="subscript"/>
              </w:rPr>
              <w:t>n</w:t>
            </w:r>
            <w:r w:rsidRPr="002B690E">
              <w:rPr>
                <w:rFonts w:eastAsia="DengXian"/>
                <w:bCs/>
                <w:sz w:val="20"/>
                <w:szCs w:val="20"/>
              </w:rPr>
              <w:t xml:space="preserve">, there is no consensus on supporting additional values of dynamic range </w:t>
            </w:r>
          </w:p>
          <w:p w:rsidR="00352FF1" w:rsidRPr="002B690E" w:rsidRDefault="00352FF1" w:rsidP="00352FF1">
            <w:pPr>
              <w:rPr>
                <w:iCs/>
                <w:sz w:val="20"/>
                <w:szCs w:val="20"/>
                <w:lang w:eastAsia="x-none"/>
              </w:rPr>
            </w:pPr>
          </w:p>
          <w:p w:rsidR="00352FF1" w:rsidRPr="002B690E" w:rsidRDefault="00352FF1" w:rsidP="00352FF1">
            <w:pPr>
              <w:rPr>
                <w:b/>
                <w:bCs/>
                <w:sz w:val="20"/>
                <w:szCs w:val="20"/>
                <w:highlight w:val="green"/>
                <w:lang w:eastAsia="x-none"/>
              </w:rPr>
            </w:pPr>
            <w:r w:rsidRPr="002B690E">
              <w:rPr>
                <w:b/>
                <w:bCs/>
                <w:sz w:val="20"/>
                <w:szCs w:val="20"/>
                <w:highlight w:val="green"/>
                <w:lang w:eastAsia="x-none"/>
              </w:rPr>
              <w:t>Agreement</w:t>
            </w:r>
          </w:p>
          <w:p w:rsidR="00352FF1" w:rsidRPr="002B690E" w:rsidRDefault="00352FF1" w:rsidP="00352FF1">
            <w:pPr>
              <w:jc w:val="both"/>
              <w:rPr>
                <w:rFonts w:eastAsia="DengXian"/>
                <w:b/>
                <w:bCs/>
                <w:sz w:val="20"/>
                <w:szCs w:val="20"/>
                <w:u w:val="single"/>
              </w:rPr>
            </w:pPr>
            <w:r w:rsidRPr="002B690E">
              <w:rPr>
                <w:rFonts w:eastAsia="Malgun Gothic"/>
                <w:sz w:val="20"/>
                <w:szCs w:val="20"/>
              </w:rPr>
              <w:t xml:space="preserve">For the Rel-19 aperiodic standalone CJT calibration reporting, the UCI mapping order is as follows: </w:t>
            </w:r>
          </w:p>
          <w:p w:rsidR="00352FF1" w:rsidRPr="002B690E" w:rsidRDefault="00352FF1" w:rsidP="00352FF1">
            <w:pPr>
              <w:numPr>
                <w:ilvl w:val="0"/>
                <w:numId w:val="986"/>
              </w:numPr>
              <w:snapToGrid w:val="0"/>
              <w:rPr>
                <w:rFonts w:eastAsia="Malgun Gothic"/>
                <w:i/>
                <w:sz w:val="20"/>
                <w:szCs w:val="20"/>
              </w:rPr>
            </w:pPr>
            <w:r w:rsidRPr="002B690E">
              <w:rPr>
                <w:sz w:val="20"/>
                <w:szCs w:val="20"/>
              </w:rPr>
              <w:t>When</w:t>
            </w:r>
            <w:r w:rsidRPr="002B690E">
              <w:rPr>
                <w:i/>
                <w:sz w:val="20"/>
                <w:szCs w:val="20"/>
              </w:rPr>
              <w:t xml:space="preserve"> </w:t>
            </w:r>
            <w:r w:rsidRPr="002B690E">
              <w:rPr>
                <w:rFonts w:eastAsia="Malgun Gothic"/>
                <w:i/>
                <w:sz w:val="20"/>
                <w:szCs w:val="20"/>
              </w:rPr>
              <w:t xml:space="preserve">ReportQuantity </w:t>
            </w:r>
            <w:r w:rsidRPr="002B690E">
              <w:rPr>
                <w:rFonts w:eastAsia="Malgun Gothic"/>
                <w:sz w:val="20"/>
                <w:szCs w:val="20"/>
              </w:rPr>
              <w:t>is</w:t>
            </w:r>
            <w:r w:rsidRPr="002B690E">
              <w:rPr>
                <w:rFonts w:eastAsia="Malgun Gothic"/>
                <w:i/>
                <w:sz w:val="20"/>
                <w:szCs w:val="20"/>
              </w:rPr>
              <w:t xml:space="preserve"> ‘cjtc-Dd’ </w:t>
            </w:r>
            <w:r w:rsidRPr="002B690E">
              <w:rPr>
                <w:rFonts w:eastAsia="Malgun Gothic"/>
                <w:sz w:val="20"/>
                <w:szCs w:val="20"/>
              </w:rPr>
              <w:t xml:space="preserve">(Doffset+d): </w:t>
            </w:r>
          </w:p>
          <w:p w:rsidR="00352FF1" w:rsidRPr="002B690E" w:rsidRDefault="00352FF1" w:rsidP="00352FF1">
            <w:pPr>
              <w:numPr>
                <w:ilvl w:val="1"/>
                <w:numId w:val="986"/>
              </w:numPr>
              <w:snapToGrid w:val="0"/>
              <w:rPr>
                <w:rFonts w:eastAsia="Malgun Gothic"/>
                <w:i/>
                <w:sz w:val="20"/>
                <w:szCs w:val="20"/>
              </w:rPr>
            </w:pPr>
            <w:r w:rsidRPr="002B690E">
              <w:rPr>
                <w:rFonts w:eastAsia="SimSun"/>
                <w:sz w:val="20"/>
                <w:szCs w:val="20"/>
              </w:rPr>
              <w:t xml:space="preserve">nref, </w:t>
            </w:r>
          </w:p>
          <w:p w:rsidR="00352FF1" w:rsidRPr="002B690E" w:rsidRDefault="00352FF1" w:rsidP="00352FF1">
            <w:pPr>
              <w:numPr>
                <w:ilvl w:val="1"/>
                <w:numId w:val="986"/>
              </w:numPr>
              <w:snapToGrid w:val="0"/>
              <w:rPr>
                <w:rFonts w:eastAsia="Malgun Gothic"/>
                <w:i/>
                <w:sz w:val="20"/>
                <w:szCs w:val="20"/>
              </w:rPr>
            </w:pPr>
            <w:r w:rsidRPr="002B690E">
              <w:rPr>
                <w:rFonts w:eastAsia="SimSun"/>
                <w:sz w:val="20"/>
                <w:szCs w:val="20"/>
              </w:rPr>
              <w:t>{D</w:t>
            </w:r>
            <w:r w:rsidRPr="002B690E">
              <w:rPr>
                <w:rFonts w:eastAsia="SimSun"/>
                <w:sz w:val="20"/>
                <w:szCs w:val="20"/>
                <w:vertAlign w:val="subscript"/>
              </w:rPr>
              <w:t>n,offset</w:t>
            </w:r>
            <w:r w:rsidRPr="002B690E">
              <w:rPr>
                <w:rFonts w:eastAsia="SimSun"/>
                <w:sz w:val="20"/>
                <w:szCs w:val="20"/>
              </w:rPr>
              <w:t>, n=0, 1, …, N</w:t>
            </w:r>
            <w:r w:rsidRPr="002B690E">
              <w:rPr>
                <w:rFonts w:eastAsia="SimSun"/>
                <w:sz w:val="20"/>
                <w:szCs w:val="20"/>
                <w:vertAlign w:val="subscript"/>
              </w:rPr>
              <w:t>TRP</w:t>
            </w:r>
            <w:r w:rsidRPr="002B690E">
              <w:rPr>
                <w:rFonts w:eastAsia="SimSun"/>
                <w:sz w:val="20"/>
                <w:szCs w:val="20"/>
              </w:rPr>
              <w:t xml:space="preserve"> – 1, n≠nref} ordered from the lowest to highest CSI-RS resource set ID, </w:t>
            </w:r>
          </w:p>
          <w:p w:rsidR="00352FF1" w:rsidRPr="002B690E" w:rsidRDefault="00352FF1" w:rsidP="00352FF1">
            <w:pPr>
              <w:numPr>
                <w:ilvl w:val="1"/>
                <w:numId w:val="986"/>
              </w:numPr>
              <w:snapToGrid w:val="0"/>
              <w:rPr>
                <w:rFonts w:eastAsia="Malgun Gothic"/>
                <w:i/>
                <w:sz w:val="20"/>
                <w:szCs w:val="20"/>
              </w:rPr>
            </w:pPr>
            <w:r w:rsidRPr="002B690E">
              <w:rPr>
                <w:rFonts w:eastAsia="SimSun"/>
                <w:sz w:val="20"/>
                <w:szCs w:val="20"/>
              </w:rPr>
              <w:t>{</w:t>
            </w:r>
            <w:r w:rsidRPr="002B690E">
              <w:rPr>
                <w:rFonts w:eastAsia="SimSun"/>
                <w:sz w:val="20"/>
                <w:szCs w:val="20"/>
                <w:lang w:val="pt-BR"/>
              </w:rPr>
              <w:t>d</w:t>
            </w:r>
            <w:r w:rsidRPr="002B690E">
              <w:rPr>
                <w:rFonts w:eastAsia="SimSun"/>
                <w:sz w:val="20"/>
                <w:szCs w:val="20"/>
                <w:vertAlign w:val="subscript"/>
                <w:lang w:val="pt-BR"/>
              </w:rPr>
              <w:t>n</w:t>
            </w:r>
            <w:r w:rsidRPr="002B690E">
              <w:rPr>
                <w:rFonts w:eastAsia="SimSun"/>
                <w:sz w:val="20"/>
                <w:szCs w:val="20"/>
                <w:lang w:val="pt-BR"/>
              </w:rPr>
              <w:t>, n=0, 1, …, N</w:t>
            </w:r>
            <w:r w:rsidRPr="002B690E">
              <w:rPr>
                <w:rFonts w:eastAsia="SimSun"/>
                <w:sz w:val="20"/>
                <w:szCs w:val="20"/>
                <w:vertAlign w:val="subscript"/>
                <w:lang w:val="pt-BR"/>
              </w:rPr>
              <w:t xml:space="preserve"> TRP</w:t>
            </w:r>
            <w:r w:rsidRPr="002B690E">
              <w:rPr>
                <w:rFonts w:eastAsia="SimSun"/>
                <w:sz w:val="20"/>
                <w:szCs w:val="20"/>
                <w:lang w:val="pt-BR"/>
              </w:rPr>
              <w:t xml:space="preserve"> – 1, n≠nref}</w:t>
            </w:r>
            <w:r w:rsidRPr="002B690E">
              <w:rPr>
                <w:rFonts w:eastAsia="SimSun"/>
                <w:sz w:val="20"/>
                <w:szCs w:val="20"/>
              </w:rPr>
              <w:t xml:space="preserve"> ordered from the lowest to highest CSI-RS resource set ID</w:t>
            </w:r>
          </w:p>
          <w:p w:rsidR="00352FF1" w:rsidRPr="002B690E" w:rsidRDefault="00352FF1" w:rsidP="00352FF1">
            <w:pPr>
              <w:numPr>
                <w:ilvl w:val="0"/>
                <w:numId w:val="986"/>
              </w:numPr>
              <w:snapToGrid w:val="0"/>
              <w:rPr>
                <w:rFonts w:eastAsia="Malgun Gothic"/>
                <w:i/>
                <w:sz w:val="20"/>
                <w:szCs w:val="20"/>
              </w:rPr>
            </w:pPr>
            <w:r w:rsidRPr="002B690E">
              <w:rPr>
                <w:sz w:val="20"/>
                <w:szCs w:val="20"/>
              </w:rPr>
              <w:t>When</w:t>
            </w:r>
            <w:r w:rsidRPr="002B690E">
              <w:rPr>
                <w:i/>
                <w:sz w:val="20"/>
                <w:szCs w:val="20"/>
              </w:rPr>
              <w:t xml:space="preserve"> </w:t>
            </w:r>
            <w:r w:rsidRPr="002B690E">
              <w:rPr>
                <w:rFonts w:eastAsia="Malgun Gothic"/>
                <w:i/>
                <w:sz w:val="20"/>
                <w:szCs w:val="20"/>
              </w:rPr>
              <w:t xml:space="preserve">ReportQuantity </w:t>
            </w:r>
            <w:r w:rsidRPr="002B690E">
              <w:rPr>
                <w:rFonts w:eastAsia="Malgun Gothic"/>
                <w:sz w:val="20"/>
                <w:szCs w:val="20"/>
              </w:rPr>
              <w:t>is</w:t>
            </w:r>
            <w:r w:rsidRPr="002B690E">
              <w:rPr>
                <w:rFonts w:eastAsia="Malgun Gothic"/>
                <w:i/>
                <w:sz w:val="20"/>
                <w:szCs w:val="20"/>
              </w:rPr>
              <w:t xml:space="preserve"> ‘cjtc-F’ </w:t>
            </w:r>
            <w:r w:rsidRPr="002B690E">
              <w:rPr>
                <w:rFonts w:eastAsia="Malgun Gothic"/>
                <w:sz w:val="20"/>
                <w:szCs w:val="20"/>
              </w:rPr>
              <w:t xml:space="preserve">(FO): </w:t>
            </w:r>
          </w:p>
          <w:p w:rsidR="00352FF1" w:rsidRPr="002B690E" w:rsidRDefault="00352FF1" w:rsidP="00352FF1">
            <w:pPr>
              <w:numPr>
                <w:ilvl w:val="1"/>
                <w:numId w:val="986"/>
              </w:numPr>
              <w:snapToGrid w:val="0"/>
              <w:rPr>
                <w:rFonts w:eastAsia="Malgun Gothic"/>
                <w:i/>
                <w:sz w:val="20"/>
                <w:szCs w:val="20"/>
              </w:rPr>
            </w:pPr>
            <w:r w:rsidRPr="002B690E">
              <w:rPr>
                <w:rFonts w:eastAsia="SimSun"/>
                <w:sz w:val="20"/>
                <w:szCs w:val="20"/>
              </w:rPr>
              <w:t xml:space="preserve">nref, </w:t>
            </w:r>
          </w:p>
          <w:p w:rsidR="00352FF1" w:rsidRPr="002B690E" w:rsidRDefault="00352FF1" w:rsidP="00352FF1">
            <w:pPr>
              <w:numPr>
                <w:ilvl w:val="1"/>
                <w:numId w:val="986"/>
              </w:numPr>
              <w:snapToGrid w:val="0"/>
              <w:rPr>
                <w:rFonts w:eastAsia="Malgun Gothic"/>
                <w:i/>
                <w:sz w:val="20"/>
                <w:szCs w:val="20"/>
              </w:rPr>
            </w:pPr>
            <w:r w:rsidRPr="002B690E">
              <w:rPr>
                <w:rFonts w:eastAsia="SimSun"/>
                <w:sz w:val="20"/>
                <w:szCs w:val="20"/>
              </w:rPr>
              <w:t>{FO</w:t>
            </w:r>
            <w:r w:rsidRPr="002B690E">
              <w:rPr>
                <w:rFonts w:eastAsia="SimSun"/>
                <w:sz w:val="20"/>
                <w:szCs w:val="20"/>
                <w:vertAlign w:val="subscript"/>
              </w:rPr>
              <w:t>n</w:t>
            </w:r>
            <w:r w:rsidRPr="002B690E">
              <w:rPr>
                <w:rFonts w:eastAsia="SimSun"/>
                <w:sz w:val="20"/>
                <w:szCs w:val="20"/>
              </w:rPr>
              <w:t>, n=0, 1, …, N</w:t>
            </w:r>
            <w:r w:rsidRPr="002B690E">
              <w:rPr>
                <w:rFonts w:eastAsia="SimSun"/>
                <w:sz w:val="20"/>
                <w:szCs w:val="20"/>
                <w:vertAlign w:val="subscript"/>
              </w:rPr>
              <w:t>TRP</w:t>
            </w:r>
            <w:r w:rsidRPr="002B690E">
              <w:rPr>
                <w:rFonts w:eastAsia="SimSun"/>
                <w:sz w:val="20"/>
                <w:szCs w:val="20"/>
              </w:rPr>
              <w:t xml:space="preserve"> – 1, n≠nref} ordered from the lowest to highest CSI-RS resource set ID, </w:t>
            </w:r>
          </w:p>
          <w:p w:rsidR="00352FF1" w:rsidRPr="002B690E" w:rsidRDefault="00352FF1" w:rsidP="00352FF1">
            <w:pPr>
              <w:numPr>
                <w:ilvl w:val="0"/>
                <w:numId w:val="986"/>
              </w:numPr>
              <w:snapToGrid w:val="0"/>
              <w:rPr>
                <w:rFonts w:eastAsia="Malgun Gothic"/>
                <w:i/>
                <w:sz w:val="20"/>
                <w:szCs w:val="20"/>
              </w:rPr>
            </w:pPr>
            <w:r w:rsidRPr="002B690E">
              <w:rPr>
                <w:sz w:val="20"/>
                <w:szCs w:val="20"/>
              </w:rPr>
              <w:t>When</w:t>
            </w:r>
            <w:r w:rsidRPr="002B690E">
              <w:rPr>
                <w:i/>
                <w:sz w:val="20"/>
                <w:szCs w:val="20"/>
              </w:rPr>
              <w:t xml:space="preserve"> </w:t>
            </w:r>
            <w:r w:rsidRPr="002B690E">
              <w:rPr>
                <w:rFonts w:eastAsia="Malgun Gothic"/>
                <w:i/>
                <w:sz w:val="20"/>
                <w:szCs w:val="20"/>
              </w:rPr>
              <w:t xml:space="preserve">ReportQuantity </w:t>
            </w:r>
            <w:r w:rsidRPr="002B690E">
              <w:rPr>
                <w:rFonts w:eastAsia="Malgun Gothic"/>
                <w:sz w:val="20"/>
                <w:szCs w:val="20"/>
              </w:rPr>
              <w:t>is</w:t>
            </w:r>
            <w:r w:rsidRPr="002B690E">
              <w:rPr>
                <w:rFonts w:eastAsia="Malgun Gothic"/>
                <w:i/>
                <w:sz w:val="20"/>
                <w:szCs w:val="20"/>
              </w:rPr>
              <w:t xml:space="preserve"> ‘cjtc-Dd-F’ </w:t>
            </w:r>
            <w:r w:rsidRPr="002B690E">
              <w:rPr>
                <w:rFonts w:eastAsia="Malgun Gothic"/>
                <w:sz w:val="20"/>
                <w:szCs w:val="20"/>
              </w:rPr>
              <w:t xml:space="preserve">(joint Doffset+d and FO): </w:t>
            </w:r>
          </w:p>
          <w:p w:rsidR="00352FF1" w:rsidRPr="002B690E" w:rsidRDefault="00352FF1" w:rsidP="00352FF1">
            <w:pPr>
              <w:numPr>
                <w:ilvl w:val="1"/>
                <w:numId w:val="986"/>
              </w:numPr>
              <w:snapToGrid w:val="0"/>
              <w:rPr>
                <w:rFonts w:eastAsia="Malgun Gothic"/>
                <w:i/>
                <w:sz w:val="20"/>
                <w:szCs w:val="20"/>
              </w:rPr>
            </w:pPr>
            <w:r w:rsidRPr="002B690E">
              <w:rPr>
                <w:rFonts w:eastAsia="SimSun"/>
                <w:sz w:val="20"/>
                <w:szCs w:val="20"/>
              </w:rPr>
              <w:t xml:space="preserve">nref1, </w:t>
            </w:r>
          </w:p>
          <w:p w:rsidR="00352FF1" w:rsidRPr="002B690E" w:rsidRDefault="00352FF1" w:rsidP="00352FF1">
            <w:pPr>
              <w:numPr>
                <w:ilvl w:val="1"/>
                <w:numId w:val="986"/>
              </w:numPr>
              <w:snapToGrid w:val="0"/>
              <w:rPr>
                <w:rFonts w:eastAsia="Malgun Gothic"/>
                <w:sz w:val="20"/>
                <w:szCs w:val="20"/>
              </w:rPr>
            </w:pPr>
            <w:r w:rsidRPr="002B690E">
              <w:rPr>
                <w:rFonts w:eastAsia="Malgun Gothic"/>
                <w:sz w:val="20"/>
                <w:szCs w:val="20"/>
              </w:rPr>
              <w:t>nref2,</w:t>
            </w:r>
          </w:p>
          <w:p w:rsidR="00352FF1" w:rsidRPr="002B690E" w:rsidRDefault="00352FF1" w:rsidP="00352FF1">
            <w:pPr>
              <w:numPr>
                <w:ilvl w:val="1"/>
                <w:numId w:val="986"/>
              </w:numPr>
              <w:snapToGrid w:val="0"/>
              <w:rPr>
                <w:rFonts w:eastAsia="Malgun Gothic"/>
                <w:i/>
                <w:sz w:val="20"/>
                <w:szCs w:val="20"/>
              </w:rPr>
            </w:pPr>
            <w:r w:rsidRPr="002B690E">
              <w:rPr>
                <w:rFonts w:eastAsia="SimSun"/>
                <w:sz w:val="20"/>
                <w:szCs w:val="20"/>
              </w:rPr>
              <w:t>{D</w:t>
            </w:r>
            <w:r w:rsidRPr="002B690E">
              <w:rPr>
                <w:rFonts w:eastAsia="SimSun"/>
                <w:sz w:val="20"/>
                <w:szCs w:val="20"/>
                <w:vertAlign w:val="subscript"/>
              </w:rPr>
              <w:t>n,offset</w:t>
            </w:r>
            <w:r w:rsidRPr="002B690E">
              <w:rPr>
                <w:rFonts w:eastAsia="SimSun"/>
                <w:sz w:val="20"/>
                <w:szCs w:val="20"/>
              </w:rPr>
              <w:t>, n=0, 1, …, N</w:t>
            </w:r>
            <w:r w:rsidRPr="002B690E">
              <w:rPr>
                <w:rFonts w:eastAsia="SimSun"/>
                <w:sz w:val="20"/>
                <w:szCs w:val="20"/>
                <w:vertAlign w:val="subscript"/>
              </w:rPr>
              <w:t>TRP</w:t>
            </w:r>
            <w:r w:rsidRPr="002B690E">
              <w:rPr>
                <w:rFonts w:eastAsia="SimSun"/>
                <w:sz w:val="20"/>
                <w:szCs w:val="20"/>
              </w:rPr>
              <w:t xml:space="preserve"> – 1, n≠nref} ordered from the lowest to highest CSI-RS resource set ID, </w:t>
            </w:r>
          </w:p>
          <w:p w:rsidR="00352FF1" w:rsidRPr="002B690E" w:rsidRDefault="00352FF1" w:rsidP="00352FF1">
            <w:pPr>
              <w:numPr>
                <w:ilvl w:val="1"/>
                <w:numId w:val="986"/>
              </w:numPr>
              <w:snapToGrid w:val="0"/>
              <w:rPr>
                <w:rFonts w:eastAsia="Malgun Gothic"/>
                <w:i/>
                <w:sz w:val="20"/>
                <w:szCs w:val="20"/>
              </w:rPr>
            </w:pPr>
            <w:r w:rsidRPr="002B690E">
              <w:rPr>
                <w:rFonts w:eastAsia="SimSun"/>
                <w:sz w:val="20"/>
                <w:szCs w:val="20"/>
              </w:rPr>
              <w:t>{</w:t>
            </w:r>
            <w:r w:rsidRPr="002B690E">
              <w:rPr>
                <w:rFonts w:eastAsia="SimSun"/>
                <w:sz w:val="20"/>
                <w:szCs w:val="20"/>
                <w:lang w:val="pt-BR"/>
              </w:rPr>
              <w:t>d</w:t>
            </w:r>
            <w:r w:rsidRPr="002B690E">
              <w:rPr>
                <w:rFonts w:eastAsia="SimSun"/>
                <w:sz w:val="20"/>
                <w:szCs w:val="20"/>
                <w:vertAlign w:val="subscript"/>
                <w:lang w:val="pt-BR"/>
              </w:rPr>
              <w:t>n</w:t>
            </w:r>
            <w:r w:rsidRPr="002B690E">
              <w:rPr>
                <w:rFonts w:eastAsia="SimSun"/>
                <w:sz w:val="20"/>
                <w:szCs w:val="20"/>
                <w:lang w:val="pt-BR"/>
              </w:rPr>
              <w:t>, n=0, 1, …, N</w:t>
            </w:r>
            <w:r w:rsidRPr="002B690E">
              <w:rPr>
                <w:rFonts w:eastAsia="SimSun"/>
                <w:sz w:val="20"/>
                <w:szCs w:val="20"/>
                <w:vertAlign w:val="subscript"/>
                <w:lang w:val="pt-BR"/>
              </w:rPr>
              <w:t xml:space="preserve"> TRP</w:t>
            </w:r>
            <w:r w:rsidRPr="002B690E">
              <w:rPr>
                <w:rFonts w:eastAsia="SimSun"/>
                <w:sz w:val="20"/>
                <w:szCs w:val="20"/>
                <w:lang w:val="pt-BR"/>
              </w:rPr>
              <w:t xml:space="preserve"> – 1, n≠nref}</w:t>
            </w:r>
            <w:r w:rsidRPr="002B690E">
              <w:rPr>
                <w:rFonts w:eastAsia="SimSun"/>
                <w:sz w:val="20"/>
                <w:szCs w:val="20"/>
              </w:rPr>
              <w:t xml:space="preserve"> ordered from the lowest to highest CSI-RS resource set ID</w:t>
            </w:r>
          </w:p>
          <w:p w:rsidR="00352FF1" w:rsidRPr="002B690E" w:rsidRDefault="00352FF1" w:rsidP="00352FF1">
            <w:pPr>
              <w:numPr>
                <w:ilvl w:val="1"/>
                <w:numId w:val="986"/>
              </w:numPr>
              <w:snapToGrid w:val="0"/>
              <w:rPr>
                <w:rFonts w:eastAsia="Malgun Gothic"/>
                <w:i/>
                <w:sz w:val="20"/>
                <w:szCs w:val="20"/>
              </w:rPr>
            </w:pPr>
            <w:r w:rsidRPr="002B690E">
              <w:rPr>
                <w:rFonts w:eastAsia="SimSun"/>
                <w:sz w:val="20"/>
                <w:szCs w:val="20"/>
              </w:rPr>
              <w:t>{FO</w:t>
            </w:r>
            <w:r w:rsidRPr="002B690E">
              <w:rPr>
                <w:rFonts w:eastAsia="SimSun"/>
                <w:sz w:val="20"/>
                <w:szCs w:val="20"/>
                <w:vertAlign w:val="subscript"/>
              </w:rPr>
              <w:t>n</w:t>
            </w:r>
            <w:r w:rsidRPr="002B690E">
              <w:rPr>
                <w:rFonts w:eastAsia="SimSun"/>
                <w:sz w:val="20"/>
                <w:szCs w:val="20"/>
              </w:rPr>
              <w:t>, n=0, 1, …, N</w:t>
            </w:r>
            <w:r w:rsidRPr="002B690E">
              <w:rPr>
                <w:rFonts w:eastAsia="SimSun"/>
                <w:sz w:val="20"/>
                <w:szCs w:val="20"/>
                <w:vertAlign w:val="subscript"/>
              </w:rPr>
              <w:t>TRP</w:t>
            </w:r>
            <w:r w:rsidRPr="002B690E">
              <w:rPr>
                <w:rFonts w:eastAsia="SimSun"/>
                <w:sz w:val="20"/>
                <w:szCs w:val="20"/>
              </w:rPr>
              <w:t xml:space="preserve"> – 1, n≠nref} ordered from the lowest to highest CSI-RS resource set ID, </w:t>
            </w:r>
          </w:p>
          <w:p w:rsidR="00352FF1" w:rsidRPr="002B690E" w:rsidRDefault="00352FF1" w:rsidP="00352FF1">
            <w:pPr>
              <w:rPr>
                <w:iCs/>
                <w:sz w:val="20"/>
                <w:szCs w:val="20"/>
                <w:lang w:eastAsia="x-none"/>
              </w:rPr>
            </w:pPr>
          </w:p>
          <w:p w:rsidR="00352FF1" w:rsidRPr="002B690E" w:rsidRDefault="00352FF1" w:rsidP="00352FF1">
            <w:pPr>
              <w:rPr>
                <w:b/>
                <w:bCs/>
                <w:sz w:val="20"/>
                <w:szCs w:val="20"/>
                <w:highlight w:val="green"/>
                <w:lang w:eastAsia="x-none"/>
              </w:rPr>
            </w:pPr>
            <w:r w:rsidRPr="002B690E">
              <w:rPr>
                <w:b/>
                <w:bCs/>
                <w:sz w:val="20"/>
                <w:szCs w:val="20"/>
                <w:highlight w:val="green"/>
                <w:lang w:eastAsia="x-none"/>
              </w:rPr>
              <w:t>Agreement</w:t>
            </w:r>
          </w:p>
          <w:p w:rsidR="00352FF1" w:rsidRPr="002B690E" w:rsidRDefault="00352FF1" w:rsidP="00352FF1">
            <w:pPr>
              <w:snapToGrid w:val="0"/>
              <w:rPr>
                <w:rFonts w:eastAsia="Malgun Gothic"/>
                <w:color w:val="000000"/>
                <w:sz w:val="20"/>
                <w:szCs w:val="20"/>
              </w:rPr>
            </w:pPr>
            <w:r w:rsidRPr="002B690E">
              <w:rPr>
                <w:rFonts w:eastAsia="Malgun Gothic"/>
                <w:sz w:val="20"/>
                <w:szCs w:val="20"/>
                <w:lang w:eastAsia="zh-TW"/>
              </w:rPr>
              <w:lastRenderedPageBreak/>
              <w:t xml:space="preserve">For the Rel-19 Type-I SP codebook refinement for 48, 64, and 128 CSI-RS ports with RI=5-8, regarding Scheme-B, </w:t>
            </w:r>
            <w:r w:rsidRPr="002B690E">
              <w:rPr>
                <w:rFonts w:eastAsia="Malgun Gothic"/>
                <w:color w:val="000000"/>
                <w:sz w:val="20"/>
                <w:szCs w:val="20"/>
              </w:rPr>
              <w:t xml:space="preserve">reuse the legacy Rel-15 Type-I layer pairing scheme, and </w:t>
            </w:r>
            <w:r w:rsidRPr="002B690E">
              <w:rPr>
                <w:color w:val="000000"/>
                <w:sz w:val="20"/>
                <w:szCs w:val="20"/>
              </w:rPr>
              <w:t>fixed mapping between SD basis vectors and layers:</w:t>
            </w:r>
          </w:p>
          <w:p w:rsidR="00352FF1" w:rsidRPr="002B690E" w:rsidRDefault="00352FF1" w:rsidP="00352FF1">
            <w:pPr>
              <w:numPr>
                <w:ilvl w:val="0"/>
                <w:numId w:val="987"/>
              </w:numPr>
              <w:snapToGrid w:val="0"/>
              <w:rPr>
                <w:color w:val="000000"/>
                <w:sz w:val="20"/>
                <w:szCs w:val="20"/>
              </w:rPr>
            </w:pPr>
            <w:r w:rsidRPr="002B690E">
              <w:rPr>
                <w:color w:val="000000"/>
                <w:sz w:val="20"/>
                <w:szCs w:val="20"/>
              </w:rPr>
              <w:t>The k-th SD basis vector is associated with the k-th layer-group.</w:t>
            </w:r>
          </w:p>
          <w:p w:rsidR="00352FF1" w:rsidRPr="002B690E" w:rsidRDefault="00352FF1" w:rsidP="00352FF1">
            <w:pPr>
              <w:numPr>
                <w:ilvl w:val="0"/>
                <w:numId w:val="987"/>
              </w:numPr>
              <w:snapToGrid w:val="0"/>
              <w:rPr>
                <w:color w:val="000000"/>
                <w:sz w:val="20"/>
                <w:szCs w:val="20"/>
              </w:rPr>
            </w:pPr>
            <w:r w:rsidRPr="002B690E">
              <w:rPr>
                <w:color w:val="000000"/>
                <w:sz w:val="20"/>
                <w:szCs w:val="20"/>
              </w:rPr>
              <w:t>Note: This should be the baseline based on joint SD basis selection/indication using the agreed combinatorial indication (</w:t>
            </w:r>
            <m:oMath>
              <m:d>
                <m:dPr>
                  <m:begChr m:val="⌈"/>
                  <m:endChr m:val="⌉"/>
                  <m:ctrlPr>
                    <w:rPr>
                      <w:rFonts w:ascii="Cambria Math" w:hAnsi="Cambria Math"/>
                      <w:i/>
                      <w:iCs/>
                      <w:color w:val="000000"/>
                      <w:sz w:val="20"/>
                      <w:szCs w:val="20"/>
                    </w:rPr>
                  </m:ctrlPr>
                </m:dPr>
                <m:e>
                  <m:func>
                    <m:funcPr>
                      <m:ctrlPr>
                        <w:rPr>
                          <w:rFonts w:ascii="Cambria Math" w:hAnsi="Cambria Math"/>
                          <w:i/>
                          <w:iCs/>
                          <w:color w:val="000000"/>
                          <w:sz w:val="20"/>
                          <w:szCs w:val="20"/>
                        </w:rPr>
                      </m:ctrlPr>
                    </m:funcPr>
                    <m:fName>
                      <m:r>
                        <m:rPr>
                          <m:sty m:val="p"/>
                        </m:rPr>
                        <w:rPr>
                          <w:rFonts w:ascii="Cambria Math" w:hAnsi="Cambria Math"/>
                          <w:color w:val="000000"/>
                          <w:sz w:val="20"/>
                          <w:szCs w:val="20"/>
                        </w:rPr>
                        <m:t>log</m:t>
                      </m:r>
                    </m:fName>
                    <m:e>
                      <m:sSubSup>
                        <m:sSubSupPr>
                          <m:ctrlPr>
                            <w:rPr>
                              <w:rFonts w:ascii="Cambria Math" w:hAnsi="Cambria Math"/>
                              <w:i/>
                              <w:iCs/>
                              <w:color w:val="000000"/>
                              <w:sz w:val="20"/>
                              <w:szCs w:val="20"/>
                            </w:rPr>
                          </m:ctrlPr>
                        </m:sSubSupPr>
                        <m:e>
                          <m:r>
                            <w:rPr>
                              <w:rFonts w:ascii="Cambria Math" w:hAnsi="Cambria Math"/>
                              <w:color w:val="000000"/>
                              <w:sz w:val="20"/>
                              <w:szCs w:val="20"/>
                            </w:rPr>
                            <m:t>C</m:t>
                          </m:r>
                        </m:e>
                        <m:sub>
                          <m:sSub>
                            <m:sSubPr>
                              <m:ctrlPr>
                                <w:rPr>
                                  <w:rFonts w:ascii="Cambria Math" w:hAnsi="Cambria Math"/>
                                  <w:i/>
                                  <w:iCs/>
                                  <w:color w:val="000000"/>
                                  <w:sz w:val="20"/>
                                  <w:szCs w:val="20"/>
                                </w:rPr>
                              </m:ctrlPr>
                            </m:sSubPr>
                            <m:e>
                              <m:r>
                                <w:rPr>
                                  <w:rFonts w:ascii="Cambria Math" w:hAnsi="Cambria Math"/>
                                  <w:color w:val="000000"/>
                                  <w:sz w:val="20"/>
                                  <w:szCs w:val="20"/>
                                </w:rPr>
                                <m:t>L</m:t>
                              </m:r>
                            </m:e>
                            <m:sub>
                              <m:r>
                                <w:rPr>
                                  <w:rFonts w:ascii="Cambria Math" w:hAnsi="Cambria Math"/>
                                  <w:color w:val="000000"/>
                                  <w:sz w:val="20"/>
                                  <w:szCs w:val="20"/>
                                </w:rPr>
                                <m:t>G</m:t>
                              </m:r>
                            </m:sub>
                          </m:sSub>
                        </m:sub>
                        <m:sup>
                          <m:sSub>
                            <m:sSubPr>
                              <m:ctrlPr>
                                <w:rPr>
                                  <w:rFonts w:ascii="Cambria Math" w:hAnsi="Cambria Math"/>
                                  <w:i/>
                                  <w:iCs/>
                                  <w:color w:val="000000"/>
                                  <w:sz w:val="20"/>
                                  <w:szCs w:val="20"/>
                                </w:rPr>
                              </m:ctrlPr>
                            </m:sSubPr>
                            <m:e>
                              <m:r>
                                <w:rPr>
                                  <w:rFonts w:ascii="Cambria Math" w:hAnsi="Cambria Math"/>
                                  <w:color w:val="000000"/>
                                  <w:sz w:val="20"/>
                                  <w:szCs w:val="20"/>
                                </w:rPr>
                                <m:t>N</m:t>
                              </m:r>
                            </m:e>
                            <m:sub>
                              <m:r>
                                <w:rPr>
                                  <w:rFonts w:ascii="Cambria Math" w:hAnsi="Cambria Math"/>
                                  <w:color w:val="000000"/>
                                  <w:sz w:val="20"/>
                                  <w:szCs w:val="20"/>
                                </w:rPr>
                                <m:t>1</m:t>
                              </m:r>
                            </m:sub>
                          </m:sSub>
                          <m:sSub>
                            <m:sSubPr>
                              <m:ctrlPr>
                                <w:rPr>
                                  <w:rFonts w:ascii="Cambria Math" w:hAnsi="Cambria Math"/>
                                  <w:i/>
                                  <w:iCs/>
                                  <w:color w:val="000000"/>
                                  <w:sz w:val="20"/>
                                  <w:szCs w:val="20"/>
                                </w:rPr>
                              </m:ctrlPr>
                            </m:sSubPr>
                            <m:e>
                              <m:r>
                                <w:rPr>
                                  <w:rFonts w:ascii="Cambria Math" w:hAnsi="Cambria Math"/>
                                  <w:color w:val="000000"/>
                                  <w:sz w:val="20"/>
                                  <w:szCs w:val="20"/>
                                </w:rPr>
                                <m:t>N</m:t>
                              </m:r>
                            </m:e>
                            <m:sub>
                              <m:r>
                                <w:rPr>
                                  <w:rFonts w:ascii="Cambria Math" w:hAnsi="Cambria Math"/>
                                  <w:color w:val="000000"/>
                                  <w:sz w:val="20"/>
                                  <w:szCs w:val="20"/>
                                </w:rPr>
                                <m:t>2</m:t>
                              </m:r>
                            </m:sub>
                          </m:sSub>
                        </m:sup>
                      </m:sSubSup>
                    </m:e>
                  </m:func>
                </m:e>
              </m:d>
            </m:oMath>
            <w:r w:rsidRPr="002B690E">
              <w:rPr>
                <w:color w:val="000000"/>
                <w:sz w:val="20"/>
                <w:szCs w:val="20"/>
              </w:rPr>
              <w:t xml:space="preserve"> bits). </w:t>
            </w:r>
          </w:p>
          <w:p w:rsidR="00352FF1" w:rsidRPr="002B690E" w:rsidRDefault="00352FF1" w:rsidP="00352FF1">
            <w:pPr>
              <w:tabs>
                <w:tab w:val="left" w:pos="0"/>
              </w:tabs>
              <w:snapToGrid w:val="0"/>
              <w:rPr>
                <w:color w:val="000000"/>
                <w:sz w:val="20"/>
                <w:szCs w:val="20"/>
              </w:rPr>
            </w:pPr>
            <w:r w:rsidRPr="002B690E">
              <w:rPr>
                <w:i/>
                <w:color w:val="000000"/>
                <w:sz w:val="20"/>
                <w:szCs w:val="20"/>
              </w:rPr>
              <w:t>L</w:t>
            </w:r>
            <w:r w:rsidRPr="002B690E">
              <w:rPr>
                <w:i/>
                <w:color w:val="000000"/>
                <w:sz w:val="20"/>
                <w:szCs w:val="20"/>
                <w:vertAlign w:val="subscript"/>
              </w:rPr>
              <w:t>G</w:t>
            </w:r>
            <w:r w:rsidRPr="002B690E">
              <w:rPr>
                <w:color w:val="000000"/>
                <w:sz w:val="20"/>
                <w:szCs w:val="20"/>
                <w:vertAlign w:val="subscript"/>
              </w:rPr>
              <w:t xml:space="preserve"> </w:t>
            </w:r>
            <w:r w:rsidRPr="002B690E">
              <w:rPr>
                <w:color w:val="000000"/>
                <w:sz w:val="20"/>
                <w:szCs w:val="20"/>
              </w:rPr>
              <w:t>denotes the number of layer groups per previous agreement</w:t>
            </w:r>
          </w:p>
          <w:p w:rsidR="00352FF1" w:rsidRPr="002B690E" w:rsidRDefault="00352FF1" w:rsidP="00352FF1">
            <w:pPr>
              <w:numPr>
                <w:ilvl w:val="0"/>
                <w:numId w:val="987"/>
              </w:numPr>
              <w:snapToGrid w:val="0"/>
              <w:rPr>
                <w:color w:val="000000"/>
                <w:sz w:val="20"/>
                <w:szCs w:val="20"/>
              </w:rPr>
            </w:pPr>
            <w:r w:rsidRPr="002B690E">
              <w:rPr>
                <w:color w:val="000000"/>
                <w:sz w:val="20"/>
                <w:szCs w:val="20"/>
              </w:rPr>
              <w:t xml:space="preserve">Note: For RI=5-6, </w:t>
            </w:r>
            <w:r w:rsidRPr="002B690E">
              <w:rPr>
                <w:i/>
                <w:color w:val="000000"/>
                <w:sz w:val="20"/>
                <w:szCs w:val="20"/>
              </w:rPr>
              <w:t>L</w:t>
            </w:r>
            <w:r w:rsidRPr="002B690E">
              <w:rPr>
                <w:i/>
                <w:color w:val="000000"/>
                <w:sz w:val="20"/>
                <w:szCs w:val="20"/>
                <w:vertAlign w:val="subscript"/>
              </w:rPr>
              <w:t>G</w:t>
            </w:r>
            <w:r w:rsidRPr="002B690E">
              <w:rPr>
                <w:color w:val="000000"/>
                <w:sz w:val="20"/>
                <w:szCs w:val="20"/>
              </w:rPr>
              <w:t xml:space="preserve">=3 was agreed, and the additional support for </w:t>
            </w:r>
            <w:r w:rsidRPr="002B690E">
              <w:rPr>
                <w:i/>
                <w:color w:val="000000"/>
                <w:sz w:val="20"/>
                <w:szCs w:val="20"/>
              </w:rPr>
              <w:t>L</w:t>
            </w:r>
            <w:r w:rsidRPr="002B690E">
              <w:rPr>
                <w:i/>
                <w:color w:val="000000"/>
                <w:sz w:val="20"/>
                <w:szCs w:val="20"/>
                <w:vertAlign w:val="subscript"/>
              </w:rPr>
              <w:t>G</w:t>
            </w:r>
            <w:r w:rsidRPr="002B690E">
              <w:rPr>
                <w:color w:val="000000"/>
                <w:sz w:val="20"/>
                <w:szCs w:val="20"/>
              </w:rPr>
              <w:t>=4 is still FFS</w:t>
            </w:r>
          </w:p>
          <w:p w:rsidR="00352FF1" w:rsidRPr="002B690E" w:rsidRDefault="00352FF1" w:rsidP="00352FF1">
            <w:pPr>
              <w:rPr>
                <w:iCs/>
                <w:sz w:val="20"/>
                <w:szCs w:val="20"/>
                <w:lang w:eastAsia="x-none"/>
              </w:rPr>
            </w:pPr>
          </w:p>
          <w:p w:rsidR="00352FF1" w:rsidRPr="002B690E" w:rsidRDefault="00352FF1" w:rsidP="00352FF1">
            <w:pPr>
              <w:rPr>
                <w:b/>
                <w:bCs/>
                <w:sz w:val="20"/>
                <w:szCs w:val="20"/>
                <w:highlight w:val="green"/>
                <w:lang w:eastAsia="x-none"/>
              </w:rPr>
            </w:pPr>
            <w:r w:rsidRPr="002B690E">
              <w:rPr>
                <w:b/>
                <w:bCs/>
                <w:sz w:val="20"/>
                <w:szCs w:val="20"/>
                <w:highlight w:val="green"/>
                <w:lang w:eastAsia="x-none"/>
              </w:rPr>
              <w:t>Agreement</w:t>
            </w:r>
          </w:p>
          <w:p w:rsidR="00352FF1" w:rsidRPr="002B690E" w:rsidRDefault="00352FF1" w:rsidP="00352FF1">
            <w:pPr>
              <w:jc w:val="both"/>
              <w:rPr>
                <w:rFonts w:eastAsia="DengXian"/>
                <w:b/>
                <w:sz w:val="20"/>
                <w:szCs w:val="20"/>
                <w:highlight w:val="green"/>
              </w:rPr>
            </w:pPr>
            <w:r w:rsidRPr="002B690E">
              <w:rPr>
                <w:sz w:val="20"/>
                <w:szCs w:val="20"/>
              </w:rPr>
              <w:t xml:space="preserve">For the </w:t>
            </w:r>
            <w:r w:rsidRPr="002B690E">
              <w:rPr>
                <w:iCs/>
                <w:sz w:val="20"/>
                <w:szCs w:val="20"/>
              </w:rPr>
              <w:t xml:space="preserve">Rel-19 Type-II codebook refinement based on Rel-18 Type-II Doppler for </w:t>
            </w:r>
            <w:r w:rsidRPr="002B690E">
              <w:rPr>
                <w:rFonts w:eastAsia="SimSun"/>
                <w:iCs/>
                <w:sz w:val="20"/>
                <w:szCs w:val="20"/>
              </w:rPr>
              <w:t>48, 64, and</w:t>
            </w:r>
            <w:r w:rsidRPr="002B690E">
              <w:rPr>
                <w:iCs/>
                <w:sz w:val="20"/>
                <w:szCs w:val="20"/>
              </w:rPr>
              <w:t xml:space="preserve"> 128 CSI-RS ports, </w:t>
            </w:r>
          </w:p>
          <w:p w:rsidR="00352FF1" w:rsidRPr="002B690E" w:rsidRDefault="00352FF1" w:rsidP="00352FF1">
            <w:pPr>
              <w:numPr>
                <w:ilvl w:val="0"/>
                <w:numId w:val="834"/>
              </w:numPr>
              <w:rPr>
                <w:iCs/>
                <w:sz w:val="20"/>
                <w:szCs w:val="20"/>
              </w:rPr>
            </w:pPr>
            <w:r w:rsidRPr="002B690E">
              <w:rPr>
                <w:iCs/>
                <w:sz w:val="20"/>
                <w:szCs w:val="20"/>
              </w:rPr>
              <w:t xml:space="preserve">For Capability 1 timeline: </w:t>
            </w:r>
          </w:p>
          <w:p w:rsidR="00352FF1" w:rsidRPr="002B690E" w:rsidRDefault="00352FF1" w:rsidP="00352FF1">
            <w:pPr>
              <w:numPr>
                <w:ilvl w:val="1"/>
                <w:numId w:val="834"/>
              </w:numPr>
              <w:rPr>
                <w:iCs/>
                <w:sz w:val="20"/>
                <w:szCs w:val="20"/>
              </w:rPr>
            </w:pPr>
            <w:r w:rsidRPr="002B690E">
              <w:rPr>
                <w:iCs/>
                <w:sz w:val="20"/>
                <w:szCs w:val="20"/>
              </w:rPr>
              <w:t>O</w:t>
            </w:r>
            <w:r w:rsidRPr="002B690E">
              <w:rPr>
                <w:iCs/>
                <w:sz w:val="20"/>
                <w:szCs w:val="20"/>
                <w:vertAlign w:val="subscript"/>
              </w:rPr>
              <w:t>CPU</w:t>
            </w:r>
            <w:r w:rsidRPr="002B690E">
              <w:rPr>
                <w:iCs/>
                <w:sz w:val="20"/>
                <w:szCs w:val="20"/>
              </w:rPr>
              <w:t xml:space="preserve"> is the legacy Rel-18 Type-II Doppler O</w:t>
            </w:r>
            <w:r w:rsidRPr="002B690E">
              <w:rPr>
                <w:iCs/>
                <w:sz w:val="20"/>
                <w:szCs w:val="20"/>
                <w:vertAlign w:val="subscript"/>
              </w:rPr>
              <w:t>CPU</w:t>
            </w:r>
            <w:r w:rsidRPr="002B690E">
              <w:rPr>
                <w:iCs/>
                <w:sz w:val="20"/>
                <w:szCs w:val="20"/>
              </w:rPr>
              <w:t xml:space="preserve"> multiplied by ceil(P/32) and replace K with K</w:t>
            </w:r>
            <w:r w:rsidRPr="002B690E">
              <w:rPr>
                <w:iCs/>
                <w:sz w:val="20"/>
                <w:szCs w:val="20"/>
                <w:vertAlign w:val="subscript"/>
              </w:rPr>
              <w:t>DOPP</w:t>
            </w:r>
            <w:r w:rsidRPr="002B690E">
              <w:rPr>
                <w:iCs/>
                <w:sz w:val="20"/>
                <w:szCs w:val="20"/>
              </w:rPr>
              <w:t xml:space="preserve"> for AP-CSI-RS, while still not exceeding 8</w:t>
            </w:r>
          </w:p>
          <w:p w:rsidR="00352FF1" w:rsidRPr="002B690E" w:rsidRDefault="00352FF1" w:rsidP="00352FF1">
            <w:pPr>
              <w:numPr>
                <w:ilvl w:val="1"/>
                <w:numId w:val="834"/>
              </w:numPr>
              <w:rPr>
                <w:iCs/>
                <w:sz w:val="20"/>
                <w:szCs w:val="20"/>
              </w:rPr>
            </w:pPr>
            <w:r w:rsidRPr="002B690E">
              <w:rPr>
                <w:iCs/>
                <w:sz w:val="20"/>
                <w:szCs w:val="20"/>
              </w:rPr>
              <w:t>Active resource counting follows the legacy Rel-18 Type-II Doppler</w:t>
            </w:r>
          </w:p>
          <w:p w:rsidR="00352FF1" w:rsidRPr="002B690E" w:rsidRDefault="00352FF1" w:rsidP="00352FF1">
            <w:pPr>
              <w:numPr>
                <w:ilvl w:val="0"/>
                <w:numId w:val="834"/>
              </w:numPr>
              <w:rPr>
                <w:iCs/>
                <w:sz w:val="20"/>
                <w:szCs w:val="20"/>
              </w:rPr>
            </w:pPr>
            <w:r w:rsidRPr="002B690E">
              <w:rPr>
                <w:iCs/>
                <w:sz w:val="20"/>
                <w:szCs w:val="20"/>
              </w:rPr>
              <w:t xml:space="preserve">For Capability 2 timeline: </w:t>
            </w:r>
          </w:p>
          <w:p w:rsidR="00352FF1" w:rsidRPr="002B690E" w:rsidRDefault="00352FF1" w:rsidP="00352FF1">
            <w:pPr>
              <w:numPr>
                <w:ilvl w:val="1"/>
                <w:numId w:val="834"/>
              </w:numPr>
              <w:rPr>
                <w:iCs/>
                <w:sz w:val="20"/>
                <w:szCs w:val="20"/>
              </w:rPr>
            </w:pPr>
            <w:r w:rsidRPr="002B690E">
              <w:rPr>
                <w:iCs/>
                <w:sz w:val="20"/>
                <w:szCs w:val="20"/>
              </w:rPr>
              <w:t>O</w:t>
            </w:r>
            <w:r w:rsidRPr="002B690E">
              <w:rPr>
                <w:iCs/>
                <w:sz w:val="20"/>
                <w:szCs w:val="20"/>
                <w:vertAlign w:val="subscript"/>
              </w:rPr>
              <w:t xml:space="preserve">CPU </w:t>
            </w:r>
            <w:r w:rsidRPr="002B690E">
              <w:rPr>
                <w:iCs/>
                <w:sz w:val="20"/>
                <w:szCs w:val="20"/>
              </w:rPr>
              <w:t>is the legacy Rel-18 Type-II Doppler O</w:t>
            </w:r>
            <w:r w:rsidRPr="002B690E">
              <w:rPr>
                <w:iCs/>
                <w:sz w:val="20"/>
                <w:szCs w:val="20"/>
                <w:vertAlign w:val="subscript"/>
              </w:rPr>
              <w:t xml:space="preserve">CPU </w:t>
            </w:r>
            <w:r w:rsidRPr="002B690E">
              <w:rPr>
                <w:iCs/>
                <w:sz w:val="20"/>
                <w:szCs w:val="20"/>
              </w:rPr>
              <w:t>and replace K with K</w:t>
            </w:r>
            <w:r w:rsidRPr="002B690E">
              <w:rPr>
                <w:iCs/>
                <w:sz w:val="20"/>
                <w:szCs w:val="20"/>
                <w:vertAlign w:val="subscript"/>
              </w:rPr>
              <w:t>DOPP</w:t>
            </w:r>
            <w:r w:rsidRPr="002B690E">
              <w:rPr>
                <w:iCs/>
                <w:sz w:val="20"/>
                <w:szCs w:val="20"/>
              </w:rPr>
              <w:t xml:space="preserve"> for AP-CSI-RS</w:t>
            </w:r>
          </w:p>
          <w:p w:rsidR="00352FF1" w:rsidRPr="002B690E" w:rsidRDefault="00352FF1" w:rsidP="00352FF1">
            <w:pPr>
              <w:numPr>
                <w:ilvl w:val="1"/>
                <w:numId w:val="834"/>
              </w:numPr>
              <w:rPr>
                <w:iCs/>
                <w:sz w:val="20"/>
                <w:szCs w:val="20"/>
              </w:rPr>
            </w:pPr>
            <w:r w:rsidRPr="002B690E">
              <w:rPr>
                <w:iCs/>
                <w:sz w:val="20"/>
                <w:szCs w:val="20"/>
              </w:rPr>
              <w:t>Active resource counting follows the legacy Rel-18 Type-II Doppler</w:t>
            </w:r>
          </w:p>
          <w:p w:rsidR="00352FF1" w:rsidRPr="002B690E" w:rsidRDefault="00352FF1" w:rsidP="00352FF1">
            <w:pPr>
              <w:rPr>
                <w:iCs/>
                <w:sz w:val="20"/>
                <w:szCs w:val="20"/>
                <w:lang w:eastAsia="x-none"/>
              </w:rPr>
            </w:pPr>
          </w:p>
          <w:p w:rsidR="00352FF1" w:rsidRPr="002B690E" w:rsidRDefault="00352FF1" w:rsidP="00352FF1">
            <w:pPr>
              <w:rPr>
                <w:b/>
                <w:bCs/>
                <w:sz w:val="20"/>
                <w:szCs w:val="20"/>
                <w:highlight w:val="green"/>
                <w:lang w:eastAsia="x-none"/>
              </w:rPr>
            </w:pPr>
            <w:r w:rsidRPr="002B690E">
              <w:rPr>
                <w:b/>
                <w:bCs/>
                <w:sz w:val="20"/>
                <w:szCs w:val="20"/>
                <w:highlight w:val="green"/>
                <w:lang w:eastAsia="x-none"/>
              </w:rPr>
              <w:t>Agreement</w:t>
            </w:r>
          </w:p>
          <w:p w:rsidR="00352FF1" w:rsidRPr="002B690E" w:rsidRDefault="00352FF1" w:rsidP="00352FF1">
            <w:pPr>
              <w:widowControl w:val="0"/>
              <w:snapToGrid w:val="0"/>
              <w:rPr>
                <w:iCs/>
                <w:sz w:val="20"/>
                <w:szCs w:val="20"/>
              </w:rPr>
            </w:pPr>
            <w:r w:rsidRPr="002B690E">
              <w:rPr>
                <w:sz w:val="20"/>
                <w:szCs w:val="20"/>
              </w:rPr>
              <w:t xml:space="preserve">For the </w:t>
            </w:r>
            <w:r w:rsidRPr="002B690E">
              <w:rPr>
                <w:iCs/>
                <w:sz w:val="20"/>
                <w:szCs w:val="20"/>
              </w:rPr>
              <w:t xml:space="preserve">Rel-19 Type-I MP codebook refinements for </w:t>
            </w:r>
            <w:r w:rsidRPr="002B690E">
              <w:rPr>
                <w:rFonts w:eastAsia="SimSun"/>
                <w:iCs/>
                <w:sz w:val="20"/>
                <w:szCs w:val="20"/>
              </w:rPr>
              <w:t>48, 64, and</w:t>
            </w:r>
            <w:r w:rsidRPr="002B690E">
              <w:rPr>
                <w:iCs/>
                <w:sz w:val="20"/>
                <w:szCs w:val="20"/>
              </w:rPr>
              <w:t xml:space="preserve"> 128 CSI-RS ports, regarding O</w:t>
            </w:r>
            <w:r w:rsidRPr="002B690E">
              <w:rPr>
                <w:iCs/>
                <w:sz w:val="20"/>
                <w:szCs w:val="20"/>
                <w:vertAlign w:val="subscript"/>
              </w:rPr>
              <w:t>CPU</w:t>
            </w:r>
            <w:r w:rsidRPr="002B690E">
              <w:rPr>
                <w:iCs/>
                <w:sz w:val="20"/>
                <w:szCs w:val="20"/>
              </w:rPr>
              <w:t>, timeline, active resource counting, and CMR restriction (FDM/TDM, EPRE offset), fully reuse those for the Rel-19 Type-I SP codebook</w:t>
            </w:r>
          </w:p>
          <w:p w:rsidR="00352FF1" w:rsidRPr="002B690E" w:rsidRDefault="00352FF1" w:rsidP="00352FF1">
            <w:pPr>
              <w:rPr>
                <w:iCs/>
                <w:sz w:val="20"/>
                <w:szCs w:val="20"/>
                <w:lang w:eastAsia="x-none"/>
              </w:rPr>
            </w:pPr>
          </w:p>
          <w:p w:rsidR="00352FF1" w:rsidRPr="002B690E" w:rsidRDefault="00352FF1" w:rsidP="00352FF1">
            <w:pPr>
              <w:rPr>
                <w:b/>
                <w:bCs/>
                <w:sz w:val="20"/>
                <w:szCs w:val="20"/>
                <w:highlight w:val="green"/>
                <w:lang w:eastAsia="x-none"/>
              </w:rPr>
            </w:pPr>
            <w:r w:rsidRPr="002B690E">
              <w:rPr>
                <w:b/>
                <w:bCs/>
                <w:sz w:val="20"/>
                <w:szCs w:val="20"/>
                <w:highlight w:val="green"/>
                <w:lang w:eastAsia="x-none"/>
              </w:rPr>
              <w:t>Agreement</w:t>
            </w:r>
          </w:p>
          <w:p w:rsidR="00352FF1" w:rsidRPr="002B690E" w:rsidRDefault="00352FF1" w:rsidP="00352FF1">
            <w:pPr>
              <w:snapToGrid w:val="0"/>
              <w:rPr>
                <w:iCs/>
                <w:sz w:val="20"/>
                <w:szCs w:val="20"/>
              </w:rPr>
            </w:pPr>
            <w:r w:rsidRPr="002B690E">
              <w:rPr>
                <w:sz w:val="20"/>
                <w:szCs w:val="20"/>
              </w:rPr>
              <w:t xml:space="preserve">For the </w:t>
            </w:r>
            <w:r w:rsidRPr="002B690E">
              <w:rPr>
                <w:iCs/>
                <w:sz w:val="20"/>
                <w:szCs w:val="20"/>
              </w:rPr>
              <w:t>Rel-19 Type-I MP codebook refinement for 48, 64, and 128 CSI-RS ports, the UCI parameters are captured in the tables below:</w:t>
            </w:r>
          </w:p>
          <w:p w:rsidR="00352FF1" w:rsidRPr="002B690E" w:rsidRDefault="00352FF1" w:rsidP="00352FF1">
            <w:pPr>
              <w:numPr>
                <w:ilvl w:val="0"/>
                <w:numId w:val="722"/>
              </w:numPr>
              <w:snapToGrid w:val="0"/>
              <w:rPr>
                <w:sz w:val="20"/>
                <w:szCs w:val="20"/>
              </w:rPr>
            </w:pPr>
            <w:r w:rsidRPr="002B690E">
              <w:rPr>
                <w:sz w:val="20"/>
                <w:szCs w:val="20"/>
              </w:rPr>
              <w:t>Note: The second column includes the location of the parameters when reported with two-part UCI</w:t>
            </w:r>
          </w:p>
          <w:p w:rsidR="00352FF1" w:rsidRPr="002B690E" w:rsidRDefault="00352FF1" w:rsidP="00352FF1">
            <w:pPr>
              <w:snapToGrid w:val="0"/>
              <w:jc w:val="both"/>
              <w:rPr>
                <w:sz w:val="20"/>
                <w:szCs w:val="20"/>
              </w:rPr>
            </w:pPr>
          </w:p>
          <w:tbl>
            <w:tblPr>
              <w:tblW w:w="6726" w:type="dxa"/>
              <w:tblCellMar>
                <w:left w:w="0" w:type="dxa"/>
                <w:right w:w="0" w:type="dxa"/>
              </w:tblCellMar>
              <w:tblLook w:val="04A0" w:firstRow="1" w:lastRow="0" w:firstColumn="1" w:lastColumn="0" w:noHBand="0" w:noVBand="1"/>
            </w:tblPr>
            <w:tblGrid>
              <w:gridCol w:w="1626"/>
              <w:gridCol w:w="1044"/>
              <w:gridCol w:w="4056"/>
            </w:tblGrid>
            <w:tr w:rsidR="00352FF1" w:rsidRPr="002B690E" w:rsidTr="006B4EF6">
              <w:trPr>
                <w:trHeight w:val="202"/>
              </w:trPr>
              <w:tc>
                <w:tcPr>
                  <w:tcW w:w="162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rsidR="00352FF1" w:rsidRPr="002B690E" w:rsidRDefault="00352FF1" w:rsidP="00352FF1">
                  <w:pPr>
                    <w:snapToGrid w:val="0"/>
                    <w:rPr>
                      <w:sz w:val="20"/>
                      <w:szCs w:val="20"/>
                    </w:rPr>
                  </w:pPr>
                  <w:r w:rsidRPr="002B690E">
                    <w:rPr>
                      <w:sz w:val="20"/>
                      <w:szCs w:val="20"/>
                    </w:rPr>
                    <w:t>Parameter</w:t>
                  </w:r>
                </w:p>
              </w:tc>
              <w:tc>
                <w:tcPr>
                  <w:tcW w:w="104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rsidR="00352FF1" w:rsidRPr="002B690E" w:rsidRDefault="00352FF1" w:rsidP="00352FF1">
                  <w:pPr>
                    <w:snapToGrid w:val="0"/>
                    <w:rPr>
                      <w:sz w:val="20"/>
                      <w:szCs w:val="20"/>
                    </w:rPr>
                  </w:pPr>
                  <w:r w:rsidRPr="002B690E">
                    <w:rPr>
                      <w:sz w:val="20"/>
                      <w:szCs w:val="20"/>
                    </w:rPr>
                    <w:t>UCI</w:t>
                  </w:r>
                </w:p>
              </w:tc>
              <w:tc>
                <w:tcPr>
                  <w:tcW w:w="405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rsidR="00352FF1" w:rsidRPr="002B690E" w:rsidRDefault="00352FF1" w:rsidP="00352FF1">
                  <w:pPr>
                    <w:snapToGrid w:val="0"/>
                    <w:rPr>
                      <w:sz w:val="20"/>
                      <w:szCs w:val="20"/>
                    </w:rPr>
                  </w:pPr>
                  <w:r w:rsidRPr="002B690E">
                    <w:rPr>
                      <w:sz w:val="20"/>
                      <w:szCs w:val="20"/>
                    </w:rPr>
                    <w:t>Details/description</w:t>
                  </w:r>
                </w:p>
              </w:tc>
            </w:tr>
            <w:tr w:rsidR="00352FF1" w:rsidRPr="002B690E" w:rsidTr="006B4EF6">
              <w:trPr>
                <w:trHeight w:val="48"/>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352FF1" w:rsidRPr="002B690E" w:rsidRDefault="00352FF1" w:rsidP="00352FF1">
                  <w:pPr>
                    <w:snapToGrid w:val="0"/>
                    <w:rPr>
                      <w:sz w:val="20"/>
                      <w:szCs w:val="20"/>
                    </w:rPr>
                  </w:pPr>
                  <w:r w:rsidRPr="002B690E">
                    <w:rPr>
                      <w:sz w:val="20"/>
                      <w:szCs w:val="20"/>
                    </w:rPr>
                    <w:t>RI</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rsidR="00352FF1" w:rsidRPr="002B690E" w:rsidRDefault="00352FF1" w:rsidP="00352FF1">
                  <w:pPr>
                    <w:snapToGrid w:val="0"/>
                    <w:rPr>
                      <w:sz w:val="20"/>
                      <w:szCs w:val="20"/>
                    </w:rPr>
                  </w:pPr>
                  <w:r w:rsidRPr="002B690E">
                    <w:rPr>
                      <w:sz w:val="20"/>
                      <w:szCs w:val="20"/>
                    </w:rPr>
                    <w:t>Part 1</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rsidR="00352FF1" w:rsidRPr="002B690E" w:rsidRDefault="00352FF1" w:rsidP="00352FF1">
                  <w:pPr>
                    <w:snapToGrid w:val="0"/>
                    <w:jc w:val="both"/>
                    <w:rPr>
                      <w:sz w:val="20"/>
                      <w:szCs w:val="20"/>
                    </w:rPr>
                  </w:pPr>
                  <w:r w:rsidRPr="002B690E">
                    <w:rPr>
                      <w:sz w:val="20"/>
                      <w:szCs w:val="20"/>
                    </w:rPr>
                    <w:t>Same as Rel-15 Type-I SP: RI=</w:t>
                  </w:r>
                  <w:r w:rsidRPr="002B690E">
                    <w:rPr>
                      <w:i/>
                      <w:sz w:val="20"/>
                      <w:szCs w:val="20"/>
                    </w:rPr>
                    <w:t>v</w:t>
                  </w:r>
                  <w:r w:rsidRPr="002B690E">
                    <w:rPr>
                      <w:sz w:val="20"/>
                      <w:szCs w:val="20"/>
                    </w:rPr>
                    <w:t>={1,2,3,4}</w:t>
                  </w:r>
                </w:p>
              </w:tc>
            </w:tr>
            <w:tr w:rsidR="00352FF1" w:rsidRPr="002B690E" w:rsidTr="006B4EF6">
              <w:trPr>
                <w:trHeight w:val="202"/>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352FF1" w:rsidRPr="002B690E" w:rsidRDefault="00352FF1" w:rsidP="00352FF1">
                  <w:pPr>
                    <w:snapToGrid w:val="0"/>
                    <w:rPr>
                      <w:sz w:val="20"/>
                      <w:szCs w:val="20"/>
                    </w:rPr>
                  </w:pPr>
                  <w:r w:rsidRPr="002B690E">
                    <w:rPr>
                      <w:sz w:val="20"/>
                      <w:szCs w:val="20"/>
                    </w:rPr>
                    <w:t>Wideband CQI for the first TB</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rsidR="00352FF1" w:rsidRPr="002B690E" w:rsidRDefault="00352FF1" w:rsidP="00352FF1">
                  <w:pPr>
                    <w:snapToGrid w:val="0"/>
                    <w:rPr>
                      <w:sz w:val="20"/>
                      <w:szCs w:val="20"/>
                    </w:rPr>
                  </w:pPr>
                  <w:r w:rsidRPr="002B690E">
                    <w:rPr>
                      <w:sz w:val="20"/>
                      <w:szCs w:val="20"/>
                    </w:rPr>
                    <w:t>Part 1</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rsidR="00352FF1" w:rsidRPr="002B690E" w:rsidRDefault="00352FF1" w:rsidP="00352FF1">
                  <w:pPr>
                    <w:snapToGrid w:val="0"/>
                    <w:rPr>
                      <w:sz w:val="20"/>
                      <w:szCs w:val="20"/>
                    </w:rPr>
                  </w:pPr>
                  <w:r w:rsidRPr="002B690E">
                    <w:rPr>
                      <w:sz w:val="20"/>
                      <w:szCs w:val="20"/>
                    </w:rPr>
                    <w:t xml:space="preserve">Same as Rel-15 Type-I SP  </w:t>
                  </w:r>
                </w:p>
              </w:tc>
            </w:tr>
            <w:tr w:rsidR="00352FF1" w:rsidRPr="002B690E" w:rsidTr="006B4EF6">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352FF1" w:rsidRPr="002B690E" w:rsidRDefault="00352FF1" w:rsidP="00352FF1">
                  <w:pPr>
                    <w:snapToGrid w:val="0"/>
                    <w:rPr>
                      <w:sz w:val="20"/>
                      <w:szCs w:val="20"/>
                    </w:rPr>
                  </w:pPr>
                  <w:r w:rsidRPr="002B690E">
                    <w:rPr>
                      <w:sz w:val="20"/>
                      <w:szCs w:val="20"/>
                    </w:rPr>
                    <w:t>Subband differential CQI for the first TB (*)</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rsidR="00352FF1" w:rsidRPr="002B690E" w:rsidRDefault="00352FF1" w:rsidP="00352FF1">
                  <w:pPr>
                    <w:snapToGrid w:val="0"/>
                    <w:rPr>
                      <w:sz w:val="20"/>
                      <w:szCs w:val="20"/>
                    </w:rPr>
                  </w:pPr>
                  <w:r w:rsidRPr="002B690E">
                    <w:rPr>
                      <w:sz w:val="20"/>
                      <w:szCs w:val="20"/>
                    </w:rPr>
                    <w:t>Part 1</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rsidR="00352FF1" w:rsidRPr="002B690E" w:rsidRDefault="00352FF1" w:rsidP="00352FF1">
                  <w:pPr>
                    <w:snapToGrid w:val="0"/>
                    <w:rPr>
                      <w:sz w:val="20"/>
                      <w:szCs w:val="20"/>
                    </w:rPr>
                  </w:pPr>
                  <w:r w:rsidRPr="002B690E">
                    <w:rPr>
                      <w:sz w:val="20"/>
                      <w:szCs w:val="20"/>
                    </w:rPr>
                    <w:t>Same as Rel-15 Type-I SP</w:t>
                  </w:r>
                </w:p>
              </w:tc>
            </w:tr>
            <w:tr w:rsidR="00352FF1" w:rsidRPr="002B690E" w:rsidTr="006B4EF6">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352FF1" w:rsidRPr="002B690E" w:rsidRDefault="00352FF1" w:rsidP="00352FF1">
                  <w:pPr>
                    <w:snapToGrid w:val="0"/>
                    <w:rPr>
                      <w:sz w:val="20"/>
                      <w:szCs w:val="20"/>
                    </w:rPr>
                  </w:pPr>
                  <w:r w:rsidRPr="002B690E">
                    <w:rPr>
                      <w:sz w:val="20"/>
                      <w:szCs w:val="20"/>
                    </w:rPr>
                    <w:t>First SD basis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rsidR="00352FF1" w:rsidRPr="002B690E" w:rsidRDefault="00352FF1" w:rsidP="00352FF1">
                  <w:pPr>
                    <w:snapToGrid w:val="0"/>
                    <w:rPr>
                      <w:sz w:val="20"/>
                      <w:szCs w:val="20"/>
                    </w:rPr>
                  </w:pPr>
                  <w:r w:rsidRPr="002B690E">
                    <w:rPr>
                      <w:sz w:val="20"/>
                      <w:szCs w:val="20"/>
                    </w:rPr>
                    <w:t xml:space="preserve">Part 2 </w:t>
                  </w:r>
                </w:p>
                <w:p w:rsidR="00352FF1" w:rsidRPr="002B690E" w:rsidRDefault="00352FF1" w:rsidP="00352FF1">
                  <w:pPr>
                    <w:snapToGrid w:val="0"/>
                    <w:rPr>
                      <w:sz w:val="20"/>
                      <w:szCs w:val="20"/>
                    </w:rPr>
                  </w:pPr>
                </w:p>
                <w:p w:rsidR="00352FF1" w:rsidRPr="002B690E" w:rsidRDefault="00352FF1" w:rsidP="00352FF1">
                  <w:pPr>
                    <w:snapToGrid w:val="0"/>
                    <w:rPr>
                      <w:sz w:val="20"/>
                      <w:szCs w:val="20"/>
                    </w:rPr>
                  </w:pPr>
                  <w:r w:rsidRPr="002B690E">
                    <w:rPr>
                      <w:sz w:val="20"/>
                      <w:szCs w:val="20"/>
                    </w:rPr>
                    <w:t>Wideband</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rsidR="00352FF1" w:rsidRPr="002B690E" w:rsidRDefault="00352FF1" w:rsidP="00352FF1">
                  <w:pPr>
                    <w:snapToGrid w:val="0"/>
                    <w:rPr>
                      <w:sz w:val="20"/>
                      <w:szCs w:val="20"/>
                    </w:rPr>
                  </w:pPr>
                  <w:r w:rsidRPr="002B690E">
                    <w:rPr>
                      <w:sz w:val="20"/>
                      <w:szCs w:val="20"/>
                    </w:rPr>
                    <w:t>One indicator per each of the Ng resources:</w:t>
                  </w:r>
                </w:p>
                <w:p w:rsidR="00352FF1" w:rsidRPr="002B690E" w:rsidRDefault="00352FF1" w:rsidP="00352FF1">
                  <w:pPr>
                    <w:pStyle w:val="ListParagraph"/>
                    <w:numPr>
                      <w:ilvl w:val="0"/>
                      <w:numId w:val="722"/>
                    </w:numPr>
                    <w:snapToGrid w:val="0"/>
                    <w:ind w:leftChars="0" w:left="360"/>
                    <w:rPr>
                      <w:rFonts w:ascii="Times New Roman" w:hAnsi="Times New Roman"/>
                      <w:szCs w:val="20"/>
                    </w:rPr>
                  </w:pPr>
                  <w:r w:rsidRPr="002B690E">
                    <w:rPr>
                      <w:rFonts w:ascii="Times New Roman" w:hAnsi="Times New Roman"/>
                      <w:szCs w:val="20"/>
                    </w:rPr>
                    <w:t>Each of the Ng indicators is the same as Rel-15 Type-I SP with the scheme following &lt; 16-port design of Rel-15 Type-I SP codebookMode=1</w:t>
                  </w:r>
                </w:p>
              </w:tc>
            </w:tr>
            <w:tr w:rsidR="00352FF1" w:rsidRPr="002B690E" w:rsidTr="006B4EF6">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352FF1" w:rsidRPr="002B690E" w:rsidRDefault="00352FF1" w:rsidP="00352FF1">
                  <w:pPr>
                    <w:snapToGrid w:val="0"/>
                    <w:rPr>
                      <w:sz w:val="20"/>
                      <w:szCs w:val="20"/>
                    </w:rPr>
                  </w:pPr>
                  <w:r w:rsidRPr="002B690E">
                    <w:rPr>
                      <w:sz w:val="20"/>
                      <w:szCs w:val="20"/>
                    </w:rPr>
                    <w:t>Second SD basis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rsidR="00352FF1" w:rsidRPr="002B690E" w:rsidRDefault="00352FF1" w:rsidP="00352FF1">
                  <w:pPr>
                    <w:snapToGrid w:val="0"/>
                    <w:rPr>
                      <w:sz w:val="20"/>
                      <w:szCs w:val="20"/>
                    </w:rPr>
                  </w:pPr>
                  <w:r w:rsidRPr="002B690E">
                    <w:rPr>
                      <w:sz w:val="20"/>
                      <w:szCs w:val="20"/>
                    </w:rPr>
                    <w:t xml:space="preserve">Part 2 </w:t>
                  </w:r>
                </w:p>
                <w:p w:rsidR="00352FF1" w:rsidRPr="002B690E" w:rsidRDefault="00352FF1" w:rsidP="00352FF1">
                  <w:pPr>
                    <w:snapToGrid w:val="0"/>
                    <w:rPr>
                      <w:sz w:val="20"/>
                      <w:szCs w:val="20"/>
                    </w:rPr>
                  </w:pPr>
                </w:p>
                <w:p w:rsidR="00352FF1" w:rsidRPr="002B690E" w:rsidRDefault="00352FF1" w:rsidP="00352FF1">
                  <w:pPr>
                    <w:snapToGrid w:val="0"/>
                    <w:rPr>
                      <w:sz w:val="20"/>
                      <w:szCs w:val="20"/>
                    </w:rPr>
                  </w:pPr>
                  <w:r w:rsidRPr="002B690E">
                    <w:rPr>
                      <w:sz w:val="20"/>
                      <w:szCs w:val="20"/>
                    </w:rPr>
                    <w:t>Wideband</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rsidR="00352FF1" w:rsidRPr="002B690E" w:rsidRDefault="00352FF1" w:rsidP="00352FF1">
                  <w:pPr>
                    <w:snapToGrid w:val="0"/>
                    <w:rPr>
                      <w:sz w:val="20"/>
                      <w:szCs w:val="20"/>
                    </w:rPr>
                  </w:pPr>
                  <w:r w:rsidRPr="002B690E">
                    <w:rPr>
                      <w:sz w:val="20"/>
                      <w:szCs w:val="20"/>
                    </w:rPr>
                    <w:t>One indicator per each of the Ng resources:</w:t>
                  </w:r>
                </w:p>
                <w:p w:rsidR="00352FF1" w:rsidRPr="002B690E" w:rsidRDefault="00352FF1" w:rsidP="00352FF1">
                  <w:pPr>
                    <w:pStyle w:val="ListParagraph"/>
                    <w:numPr>
                      <w:ilvl w:val="0"/>
                      <w:numId w:val="722"/>
                    </w:numPr>
                    <w:snapToGrid w:val="0"/>
                    <w:ind w:leftChars="0" w:left="360"/>
                    <w:rPr>
                      <w:rFonts w:ascii="Times New Roman" w:hAnsi="Times New Roman"/>
                      <w:szCs w:val="20"/>
                    </w:rPr>
                  </w:pPr>
                  <w:r w:rsidRPr="002B690E">
                    <w:rPr>
                      <w:rFonts w:ascii="Times New Roman" w:hAnsi="Times New Roman"/>
                      <w:szCs w:val="20"/>
                    </w:rPr>
                    <w:t xml:space="preserve">Each of the Ng indicators is the same as Rel-15 Type-I SP with the scheme following &lt; 16-port design of R15 Type-I SP codebookMode=1  </w:t>
                  </w:r>
                </w:p>
              </w:tc>
            </w:tr>
            <w:tr w:rsidR="00352FF1" w:rsidRPr="002B690E" w:rsidTr="006B4EF6">
              <w:trPr>
                <w:trHeight w:val="156"/>
              </w:trPr>
              <w:tc>
                <w:tcPr>
                  <w:tcW w:w="16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352FF1" w:rsidRPr="002B690E" w:rsidRDefault="00352FF1" w:rsidP="00352FF1">
                  <w:pPr>
                    <w:snapToGrid w:val="0"/>
                    <w:rPr>
                      <w:sz w:val="20"/>
                      <w:szCs w:val="20"/>
                    </w:rPr>
                  </w:pPr>
                  <w:r w:rsidRPr="002B690E">
                    <w:rPr>
                      <w:sz w:val="20"/>
                      <w:szCs w:val="20"/>
                    </w:rPr>
                    <w:t>Inter-pol co-phase selection indicator</w:t>
                  </w:r>
                </w:p>
              </w:tc>
              <w:tc>
                <w:tcPr>
                  <w:tcW w:w="1044"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352FF1" w:rsidRPr="002B690E" w:rsidRDefault="00352FF1" w:rsidP="00352FF1">
                  <w:pPr>
                    <w:snapToGrid w:val="0"/>
                    <w:rPr>
                      <w:sz w:val="20"/>
                      <w:szCs w:val="20"/>
                    </w:rPr>
                  </w:pPr>
                  <w:r w:rsidRPr="002B690E">
                    <w:rPr>
                      <w:sz w:val="20"/>
                      <w:szCs w:val="20"/>
                    </w:rPr>
                    <w:t>Part 2</w:t>
                  </w:r>
                </w:p>
                <w:p w:rsidR="00352FF1" w:rsidRPr="002B690E" w:rsidRDefault="00352FF1" w:rsidP="00352FF1">
                  <w:pPr>
                    <w:snapToGrid w:val="0"/>
                    <w:rPr>
                      <w:sz w:val="20"/>
                      <w:szCs w:val="20"/>
                    </w:rPr>
                  </w:pPr>
                </w:p>
                <w:p w:rsidR="00352FF1" w:rsidRPr="002B690E" w:rsidRDefault="00352FF1" w:rsidP="00352FF1">
                  <w:pPr>
                    <w:snapToGrid w:val="0"/>
                    <w:rPr>
                      <w:sz w:val="20"/>
                      <w:szCs w:val="20"/>
                    </w:rPr>
                  </w:pPr>
                  <w:r w:rsidRPr="002B690E">
                    <w:rPr>
                      <w:sz w:val="20"/>
                      <w:szCs w:val="20"/>
                    </w:rPr>
                    <w:t>Wideband or Subband (**)</w:t>
                  </w:r>
                </w:p>
              </w:tc>
              <w:tc>
                <w:tcPr>
                  <w:tcW w:w="4056"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352FF1" w:rsidRPr="002B690E" w:rsidRDefault="00352FF1" w:rsidP="00352FF1">
                  <w:pPr>
                    <w:snapToGrid w:val="0"/>
                    <w:rPr>
                      <w:sz w:val="20"/>
                      <w:szCs w:val="20"/>
                    </w:rPr>
                  </w:pPr>
                  <w:r w:rsidRPr="002B690E">
                    <w:rPr>
                      <w:sz w:val="20"/>
                      <w:szCs w:val="20"/>
                    </w:rPr>
                    <w:t>One (set of) indicator per each of the Ng resources:</w:t>
                  </w:r>
                </w:p>
                <w:p w:rsidR="00352FF1" w:rsidRPr="002B690E" w:rsidRDefault="00352FF1" w:rsidP="00352FF1">
                  <w:pPr>
                    <w:pStyle w:val="ListParagraph"/>
                    <w:numPr>
                      <w:ilvl w:val="0"/>
                      <w:numId w:val="722"/>
                    </w:numPr>
                    <w:snapToGrid w:val="0"/>
                    <w:ind w:leftChars="0" w:left="360"/>
                    <w:rPr>
                      <w:rFonts w:ascii="Times New Roman" w:hAnsi="Times New Roman"/>
                      <w:szCs w:val="20"/>
                    </w:rPr>
                  </w:pPr>
                  <w:r w:rsidRPr="002B690E">
                    <w:rPr>
                      <w:rFonts w:ascii="Times New Roman" w:hAnsi="Times New Roman"/>
                      <w:szCs w:val="20"/>
                    </w:rPr>
                    <w:t>Same as Rel-15 Type-I SP with the scheme following &lt; 16-port design of R1</w:t>
                  </w:r>
                  <w:r w:rsidRPr="002B690E">
                    <w:rPr>
                      <w:rFonts w:ascii="Times New Roman" w:hAnsi="Times New Roman"/>
                      <w:color w:val="FF0000"/>
                      <w:szCs w:val="20"/>
                    </w:rPr>
                    <w:t>5</w:t>
                  </w:r>
                  <w:r w:rsidRPr="002B690E">
                    <w:rPr>
                      <w:rFonts w:ascii="Times New Roman" w:hAnsi="Times New Roman"/>
                      <w:szCs w:val="20"/>
                    </w:rPr>
                    <w:t xml:space="preserve"> Type-I codebookMode=1</w:t>
                  </w:r>
                </w:p>
              </w:tc>
            </w:tr>
            <w:tr w:rsidR="00352FF1" w:rsidRPr="002B690E" w:rsidTr="006B4EF6">
              <w:trPr>
                <w:trHeight w:val="156"/>
              </w:trPr>
              <w:tc>
                <w:tcPr>
                  <w:tcW w:w="16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352FF1" w:rsidRPr="002B690E" w:rsidRDefault="00352FF1" w:rsidP="00352FF1">
                  <w:pPr>
                    <w:snapToGrid w:val="0"/>
                    <w:rPr>
                      <w:sz w:val="20"/>
                      <w:szCs w:val="20"/>
                    </w:rPr>
                  </w:pPr>
                  <w:r w:rsidRPr="002B690E">
                    <w:rPr>
                      <w:sz w:val="20"/>
                      <w:szCs w:val="20"/>
                    </w:rPr>
                    <w:t>Inter-resource co-phasing</w:t>
                  </w:r>
                </w:p>
              </w:tc>
              <w:tc>
                <w:tcPr>
                  <w:tcW w:w="1044"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352FF1" w:rsidRPr="002B690E" w:rsidRDefault="00352FF1" w:rsidP="00352FF1">
                  <w:pPr>
                    <w:snapToGrid w:val="0"/>
                    <w:rPr>
                      <w:sz w:val="20"/>
                      <w:szCs w:val="20"/>
                    </w:rPr>
                  </w:pPr>
                  <w:r w:rsidRPr="002B690E">
                    <w:rPr>
                      <w:sz w:val="20"/>
                      <w:szCs w:val="20"/>
                    </w:rPr>
                    <w:t>Part 2</w:t>
                  </w:r>
                </w:p>
                <w:p w:rsidR="00352FF1" w:rsidRPr="002B690E" w:rsidRDefault="00352FF1" w:rsidP="00352FF1">
                  <w:pPr>
                    <w:snapToGrid w:val="0"/>
                    <w:rPr>
                      <w:sz w:val="20"/>
                      <w:szCs w:val="20"/>
                    </w:rPr>
                  </w:pPr>
                </w:p>
                <w:p w:rsidR="00352FF1" w:rsidRPr="002B690E" w:rsidRDefault="00352FF1" w:rsidP="00352FF1">
                  <w:pPr>
                    <w:snapToGrid w:val="0"/>
                    <w:rPr>
                      <w:sz w:val="20"/>
                      <w:szCs w:val="20"/>
                    </w:rPr>
                  </w:pPr>
                  <w:r w:rsidRPr="002B690E">
                    <w:rPr>
                      <w:sz w:val="20"/>
                      <w:szCs w:val="20"/>
                    </w:rPr>
                    <w:t>Wideband</w:t>
                  </w:r>
                </w:p>
              </w:tc>
              <w:tc>
                <w:tcPr>
                  <w:tcW w:w="4056"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352FF1" w:rsidRPr="002B690E" w:rsidRDefault="00352FF1" w:rsidP="00352FF1">
                  <w:pPr>
                    <w:snapToGrid w:val="0"/>
                    <w:rPr>
                      <w:sz w:val="20"/>
                      <w:szCs w:val="20"/>
                    </w:rPr>
                  </w:pPr>
                  <w:r w:rsidRPr="002B690E">
                    <w:rPr>
                      <w:sz w:val="20"/>
                      <w:szCs w:val="20"/>
                    </w:rPr>
                    <w:t>QPSK (2-bit) co-phasing on resource k=2,…,K relative to the first resource, layer-common</w:t>
                  </w:r>
                </w:p>
              </w:tc>
            </w:tr>
          </w:tbl>
          <w:p w:rsidR="00352FF1" w:rsidRPr="002B690E" w:rsidRDefault="00352FF1" w:rsidP="00352FF1">
            <w:pPr>
              <w:snapToGrid w:val="0"/>
              <w:rPr>
                <w:color w:val="FF0000"/>
                <w:sz w:val="20"/>
                <w:szCs w:val="20"/>
              </w:rPr>
            </w:pPr>
            <w:r w:rsidRPr="002B690E">
              <w:rPr>
                <w:color w:val="FF0000"/>
                <w:sz w:val="20"/>
                <w:szCs w:val="20"/>
              </w:rPr>
              <w:t>(*): Not included when CQI reporting granularity is set to ‘wideband’</w:t>
            </w:r>
          </w:p>
          <w:p w:rsidR="00352FF1" w:rsidRPr="002B690E" w:rsidRDefault="00352FF1" w:rsidP="00352FF1">
            <w:pPr>
              <w:snapToGrid w:val="0"/>
              <w:rPr>
                <w:color w:val="FF0000"/>
                <w:sz w:val="20"/>
                <w:szCs w:val="20"/>
              </w:rPr>
            </w:pPr>
            <w:r w:rsidRPr="002B690E">
              <w:rPr>
                <w:color w:val="FF0000"/>
                <w:sz w:val="20"/>
                <w:szCs w:val="20"/>
              </w:rPr>
              <w:lastRenderedPageBreak/>
              <w:t>(**): Wideband when PMI reporting is set to ‘wideband’, Subband when PMI reporting granularity is set to ‘subband’</w:t>
            </w:r>
          </w:p>
          <w:p w:rsidR="00352FF1" w:rsidRPr="002B690E" w:rsidRDefault="00352FF1" w:rsidP="00352FF1">
            <w:pPr>
              <w:snapToGrid w:val="0"/>
              <w:jc w:val="both"/>
              <w:rPr>
                <w:color w:val="3333FF"/>
                <w:sz w:val="20"/>
                <w:szCs w:val="20"/>
              </w:rPr>
            </w:pPr>
          </w:p>
          <w:p w:rsidR="00352FF1" w:rsidRPr="002B690E" w:rsidRDefault="00352FF1" w:rsidP="00352FF1">
            <w:pPr>
              <w:rPr>
                <w:b/>
                <w:bCs/>
                <w:sz w:val="20"/>
                <w:szCs w:val="20"/>
                <w:highlight w:val="green"/>
                <w:lang w:eastAsia="x-none"/>
              </w:rPr>
            </w:pPr>
            <w:r w:rsidRPr="002B690E">
              <w:rPr>
                <w:b/>
                <w:bCs/>
                <w:sz w:val="20"/>
                <w:szCs w:val="20"/>
                <w:highlight w:val="green"/>
                <w:lang w:eastAsia="x-none"/>
              </w:rPr>
              <w:t>Agreement</w:t>
            </w:r>
          </w:p>
          <w:p w:rsidR="00352FF1" w:rsidRPr="002B690E" w:rsidRDefault="00352FF1" w:rsidP="00352FF1">
            <w:pPr>
              <w:snapToGrid w:val="0"/>
              <w:rPr>
                <w:iCs/>
                <w:sz w:val="20"/>
                <w:szCs w:val="20"/>
              </w:rPr>
            </w:pPr>
            <w:r w:rsidRPr="002B690E">
              <w:rPr>
                <w:sz w:val="20"/>
                <w:szCs w:val="20"/>
              </w:rPr>
              <w:t xml:space="preserve">For the </w:t>
            </w:r>
            <w:r w:rsidRPr="002B690E">
              <w:rPr>
                <w:iCs/>
                <w:sz w:val="20"/>
                <w:szCs w:val="20"/>
              </w:rPr>
              <w:t>Rel-19 Type-I SP codebook refinement for 48, 64, and 128 CSI-RS ports, the UCI parameters are captured in the tables below for Scheme-A for RI=5-8:</w:t>
            </w:r>
          </w:p>
          <w:p w:rsidR="00352FF1" w:rsidRPr="002B690E" w:rsidRDefault="00352FF1" w:rsidP="00352FF1">
            <w:pPr>
              <w:numPr>
                <w:ilvl w:val="0"/>
                <w:numId w:val="722"/>
              </w:numPr>
              <w:snapToGrid w:val="0"/>
              <w:contextualSpacing/>
              <w:rPr>
                <w:sz w:val="20"/>
                <w:szCs w:val="20"/>
              </w:rPr>
            </w:pPr>
            <w:r w:rsidRPr="002B690E">
              <w:rPr>
                <w:sz w:val="20"/>
                <w:szCs w:val="20"/>
              </w:rPr>
              <w:t>Note: The second column includes the location of the parameters when reported with two-part UCI</w:t>
            </w:r>
          </w:p>
          <w:p w:rsidR="00352FF1" w:rsidRPr="002B690E" w:rsidRDefault="00352FF1" w:rsidP="00352FF1">
            <w:pPr>
              <w:snapToGrid w:val="0"/>
              <w:rPr>
                <w:sz w:val="20"/>
                <w:szCs w:val="20"/>
              </w:rPr>
            </w:pPr>
            <w:r w:rsidRPr="002B690E">
              <w:rPr>
                <w:b/>
                <w:sz w:val="20"/>
                <w:szCs w:val="20"/>
              </w:rPr>
              <w:t>Scheme-A</w:t>
            </w:r>
          </w:p>
          <w:tbl>
            <w:tblPr>
              <w:tblW w:w="6726" w:type="dxa"/>
              <w:tblCellMar>
                <w:left w:w="0" w:type="dxa"/>
                <w:right w:w="0" w:type="dxa"/>
              </w:tblCellMar>
              <w:tblLook w:val="04A0" w:firstRow="1" w:lastRow="0" w:firstColumn="1" w:lastColumn="0" w:noHBand="0" w:noVBand="1"/>
            </w:tblPr>
            <w:tblGrid>
              <w:gridCol w:w="1626"/>
              <w:gridCol w:w="1044"/>
              <w:gridCol w:w="4056"/>
            </w:tblGrid>
            <w:tr w:rsidR="00352FF1" w:rsidRPr="002B690E" w:rsidTr="006B4EF6">
              <w:trPr>
                <w:trHeight w:val="202"/>
              </w:trPr>
              <w:tc>
                <w:tcPr>
                  <w:tcW w:w="162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rsidR="00352FF1" w:rsidRPr="002B690E" w:rsidRDefault="00352FF1" w:rsidP="00352FF1">
                  <w:pPr>
                    <w:snapToGrid w:val="0"/>
                    <w:rPr>
                      <w:sz w:val="20"/>
                      <w:szCs w:val="20"/>
                    </w:rPr>
                  </w:pPr>
                  <w:r w:rsidRPr="002B690E">
                    <w:rPr>
                      <w:sz w:val="20"/>
                      <w:szCs w:val="20"/>
                    </w:rPr>
                    <w:t>Parameter</w:t>
                  </w:r>
                </w:p>
              </w:tc>
              <w:tc>
                <w:tcPr>
                  <w:tcW w:w="104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rsidR="00352FF1" w:rsidRPr="002B690E" w:rsidRDefault="00352FF1" w:rsidP="00352FF1">
                  <w:pPr>
                    <w:snapToGrid w:val="0"/>
                    <w:rPr>
                      <w:sz w:val="20"/>
                      <w:szCs w:val="20"/>
                    </w:rPr>
                  </w:pPr>
                  <w:r w:rsidRPr="002B690E">
                    <w:rPr>
                      <w:sz w:val="20"/>
                      <w:szCs w:val="20"/>
                    </w:rPr>
                    <w:t>UCI</w:t>
                  </w:r>
                </w:p>
              </w:tc>
              <w:tc>
                <w:tcPr>
                  <w:tcW w:w="405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rsidR="00352FF1" w:rsidRPr="002B690E" w:rsidRDefault="00352FF1" w:rsidP="00352FF1">
                  <w:pPr>
                    <w:snapToGrid w:val="0"/>
                    <w:rPr>
                      <w:sz w:val="20"/>
                      <w:szCs w:val="20"/>
                    </w:rPr>
                  </w:pPr>
                  <w:r w:rsidRPr="002B690E">
                    <w:rPr>
                      <w:sz w:val="20"/>
                      <w:szCs w:val="20"/>
                    </w:rPr>
                    <w:t>Details/description</w:t>
                  </w:r>
                </w:p>
              </w:tc>
            </w:tr>
            <w:tr w:rsidR="00352FF1" w:rsidRPr="002B690E" w:rsidTr="006B4EF6">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352FF1" w:rsidRPr="002B690E" w:rsidRDefault="00352FF1" w:rsidP="00352FF1">
                  <w:pPr>
                    <w:snapToGrid w:val="0"/>
                    <w:rPr>
                      <w:sz w:val="20"/>
                      <w:szCs w:val="20"/>
                    </w:rPr>
                  </w:pPr>
                  <w:r w:rsidRPr="002B690E">
                    <w:rPr>
                      <w:sz w:val="20"/>
                      <w:szCs w:val="20"/>
                    </w:rPr>
                    <w:t>First SD basis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rsidR="00352FF1" w:rsidRPr="002B690E" w:rsidRDefault="00352FF1" w:rsidP="00352FF1">
                  <w:pPr>
                    <w:snapToGrid w:val="0"/>
                    <w:rPr>
                      <w:sz w:val="20"/>
                      <w:szCs w:val="20"/>
                    </w:rPr>
                  </w:pPr>
                  <w:r w:rsidRPr="002B690E">
                    <w:rPr>
                      <w:sz w:val="20"/>
                      <w:szCs w:val="20"/>
                    </w:rPr>
                    <w:t xml:space="preserve">Part 2 </w:t>
                  </w:r>
                </w:p>
                <w:p w:rsidR="00352FF1" w:rsidRPr="002B690E" w:rsidRDefault="00352FF1" w:rsidP="00352FF1">
                  <w:pPr>
                    <w:snapToGrid w:val="0"/>
                    <w:rPr>
                      <w:sz w:val="20"/>
                      <w:szCs w:val="20"/>
                    </w:rPr>
                  </w:pPr>
                </w:p>
                <w:p w:rsidR="00352FF1" w:rsidRPr="002B690E" w:rsidRDefault="00352FF1" w:rsidP="00352FF1">
                  <w:pPr>
                    <w:snapToGrid w:val="0"/>
                    <w:rPr>
                      <w:sz w:val="20"/>
                      <w:szCs w:val="20"/>
                    </w:rPr>
                  </w:pPr>
                  <w:r w:rsidRPr="002B690E">
                    <w:rPr>
                      <w:sz w:val="20"/>
                      <w:szCs w:val="20"/>
                    </w:rPr>
                    <w:t>Wideband</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rsidR="00352FF1" w:rsidRPr="002B690E" w:rsidRDefault="00352FF1" w:rsidP="00352FF1">
                  <w:pPr>
                    <w:snapToGrid w:val="0"/>
                    <w:rPr>
                      <w:sz w:val="20"/>
                      <w:szCs w:val="20"/>
                    </w:rPr>
                  </w:pPr>
                  <w:r w:rsidRPr="002B690E">
                    <w:rPr>
                      <w:i/>
                      <w:sz w:val="20"/>
                      <w:szCs w:val="20"/>
                    </w:rPr>
                    <w:t>v</w:t>
                  </w:r>
                  <w:r w:rsidRPr="002B690E">
                    <w:rPr>
                      <w:sz w:val="20"/>
                      <w:szCs w:val="20"/>
                    </w:rPr>
                    <w:t>=5-8: Decide (by RAN1#118) Alt1 vs Alt2</w:t>
                  </w:r>
                </w:p>
                <w:p w:rsidR="00352FF1" w:rsidRPr="002B690E" w:rsidRDefault="00352FF1" w:rsidP="00352FF1">
                  <w:pPr>
                    <w:snapToGrid w:val="0"/>
                    <w:rPr>
                      <w:sz w:val="20"/>
                      <w:szCs w:val="20"/>
                      <w:lang w:eastAsia="zh-TW"/>
                    </w:rPr>
                  </w:pPr>
                  <w:r w:rsidRPr="002B690E">
                    <w:rPr>
                      <w:sz w:val="20"/>
                      <w:szCs w:val="20"/>
                    </w:rPr>
                    <w:t xml:space="preserve">Alt1. Same as legacy Rel-15 Type-I SP, separate (i1, i2) indicators of </w:t>
                  </w:r>
                  <m:oMath>
                    <m:d>
                      <m:dPr>
                        <m:begChr m:val="⌈"/>
                        <m:endChr m:val="⌉"/>
                        <m:ctrlPr>
                          <w:rPr>
                            <w:rFonts w:ascii="Cambria Math" w:hAnsi="Cambria Math"/>
                            <w:i/>
                            <w:sz w:val="20"/>
                            <w:szCs w:val="20"/>
                            <w:lang w:eastAsia="zh-TW"/>
                          </w:rPr>
                        </m:ctrlPr>
                      </m:dPr>
                      <m:e>
                        <m:func>
                          <m:funcPr>
                            <m:ctrlPr>
                              <w:rPr>
                                <w:rFonts w:ascii="Cambria Math" w:hAnsi="Cambria Math"/>
                                <w:i/>
                                <w:sz w:val="20"/>
                                <w:szCs w:val="20"/>
                                <w:lang w:eastAsia="zh-TW"/>
                              </w:rPr>
                            </m:ctrlPr>
                          </m:funcPr>
                          <m:fName>
                            <m:sSub>
                              <m:sSubPr>
                                <m:ctrlPr>
                                  <w:rPr>
                                    <w:rFonts w:ascii="Cambria Math" w:hAnsi="Cambria Math"/>
                                    <w:i/>
                                    <w:sz w:val="20"/>
                                    <w:szCs w:val="20"/>
                                    <w:lang w:eastAsia="zh-TW"/>
                                  </w:rPr>
                                </m:ctrlPr>
                              </m:sSubPr>
                              <m:e>
                                <m:r>
                                  <m:rPr>
                                    <m:sty m:val="p"/>
                                  </m:rPr>
                                  <w:rPr>
                                    <w:rFonts w:ascii="Cambria Math" w:hAnsi="Cambria Math"/>
                                    <w:sz w:val="20"/>
                                    <w:szCs w:val="20"/>
                                    <w:lang w:eastAsia="zh-TW"/>
                                  </w:rPr>
                                  <m:t>log</m:t>
                                </m:r>
                              </m:e>
                              <m:sub>
                                <m:r>
                                  <w:rPr>
                                    <w:rFonts w:ascii="Cambria Math" w:hAnsi="Cambria Math"/>
                                    <w:sz w:val="20"/>
                                    <w:szCs w:val="20"/>
                                    <w:lang w:eastAsia="zh-TW"/>
                                  </w:rPr>
                                  <m:t>2</m:t>
                                </m:r>
                              </m:sub>
                            </m:sSub>
                          </m:fName>
                          <m:e>
                            <m:sSub>
                              <m:sSubPr>
                                <m:ctrlPr>
                                  <w:rPr>
                                    <w:rFonts w:ascii="Cambria Math" w:hAnsi="Cambria Math"/>
                                    <w:i/>
                                    <w:sz w:val="20"/>
                                    <w:szCs w:val="20"/>
                                    <w:lang w:eastAsia="zh-TW"/>
                                  </w:rPr>
                                </m:ctrlPr>
                              </m:sSubPr>
                              <m:e>
                                <m:r>
                                  <w:rPr>
                                    <w:rFonts w:ascii="Cambria Math" w:hAnsi="Cambria Math"/>
                                    <w:sz w:val="20"/>
                                    <w:szCs w:val="20"/>
                                    <w:lang w:eastAsia="zh-TW"/>
                                  </w:rPr>
                                  <m:t>N</m:t>
                                </m:r>
                              </m:e>
                              <m:sub>
                                <m:r>
                                  <w:rPr>
                                    <w:rFonts w:ascii="Cambria Math" w:hAnsi="Cambria Math"/>
                                    <w:sz w:val="20"/>
                                    <w:szCs w:val="20"/>
                                    <w:lang w:eastAsia="zh-TW"/>
                                  </w:rPr>
                                  <m:t>1</m:t>
                                </m:r>
                              </m:sub>
                            </m:sSub>
                            <m:sSub>
                              <m:sSubPr>
                                <m:ctrlPr>
                                  <w:rPr>
                                    <w:rFonts w:ascii="Cambria Math" w:hAnsi="Cambria Math"/>
                                    <w:i/>
                                    <w:sz w:val="20"/>
                                    <w:szCs w:val="20"/>
                                    <w:lang w:eastAsia="zh-TW"/>
                                  </w:rPr>
                                </m:ctrlPr>
                              </m:sSubPr>
                              <m:e>
                                <m:r>
                                  <w:rPr>
                                    <w:rFonts w:ascii="Cambria Math" w:hAnsi="Cambria Math"/>
                                    <w:sz w:val="20"/>
                                    <w:szCs w:val="20"/>
                                    <w:lang w:eastAsia="zh-TW"/>
                                  </w:rPr>
                                  <m:t>O</m:t>
                                </m:r>
                              </m:e>
                              <m:sub>
                                <m:r>
                                  <w:rPr>
                                    <w:rFonts w:ascii="Cambria Math" w:hAnsi="Cambria Math"/>
                                    <w:sz w:val="20"/>
                                    <w:szCs w:val="20"/>
                                    <w:lang w:eastAsia="zh-TW"/>
                                  </w:rPr>
                                  <m:t>1</m:t>
                                </m:r>
                              </m:sub>
                            </m:sSub>
                          </m:e>
                        </m:func>
                      </m:e>
                    </m:d>
                  </m:oMath>
                  <w:r w:rsidRPr="002B690E">
                    <w:rPr>
                      <w:sz w:val="20"/>
                      <w:szCs w:val="20"/>
                      <w:lang w:eastAsia="zh-TW"/>
                    </w:rPr>
                    <w:t xml:space="preserve"> bits and </w:t>
                  </w:r>
                  <m:oMath>
                    <m:d>
                      <m:dPr>
                        <m:begChr m:val="⌈"/>
                        <m:endChr m:val="⌉"/>
                        <m:ctrlPr>
                          <w:rPr>
                            <w:rFonts w:ascii="Cambria Math" w:hAnsi="Cambria Math"/>
                            <w:i/>
                            <w:sz w:val="20"/>
                            <w:szCs w:val="20"/>
                            <w:lang w:eastAsia="zh-TW"/>
                          </w:rPr>
                        </m:ctrlPr>
                      </m:dPr>
                      <m:e>
                        <m:func>
                          <m:funcPr>
                            <m:ctrlPr>
                              <w:rPr>
                                <w:rFonts w:ascii="Cambria Math" w:hAnsi="Cambria Math"/>
                                <w:i/>
                                <w:sz w:val="20"/>
                                <w:szCs w:val="20"/>
                                <w:lang w:eastAsia="zh-TW"/>
                              </w:rPr>
                            </m:ctrlPr>
                          </m:funcPr>
                          <m:fName>
                            <m:sSub>
                              <m:sSubPr>
                                <m:ctrlPr>
                                  <w:rPr>
                                    <w:rFonts w:ascii="Cambria Math" w:hAnsi="Cambria Math"/>
                                    <w:i/>
                                    <w:sz w:val="20"/>
                                    <w:szCs w:val="20"/>
                                    <w:lang w:eastAsia="zh-TW"/>
                                  </w:rPr>
                                </m:ctrlPr>
                              </m:sSubPr>
                              <m:e>
                                <m:r>
                                  <m:rPr>
                                    <m:sty m:val="p"/>
                                  </m:rPr>
                                  <w:rPr>
                                    <w:rFonts w:ascii="Cambria Math" w:hAnsi="Cambria Math"/>
                                    <w:sz w:val="20"/>
                                    <w:szCs w:val="20"/>
                                    <w:lang w:eastAsia="zh-TW"/>
                                  </w:rPr>
                                  <m:t>log</m:t>
                                </m:r>
                              </m:e>
                              <m:sub>
                                <m:r>
                                  <w:rPr>
                                    <w:rFonts w:ascii="Cambria Math" w:hAnsi="Cambria Math"/>
                                    <w:sz w:val="20"/>
                                    <w:szCs w:val="20"/>
                                    <w:lang w:eastAsia="zh-TW"/>
                                  </w:rPr>
                                  <m:t>2</m:t>
                                </m:r>
                              </m:sub>
                            </m:sSub>
                          </m:fName>
                          <m:e>
                            <m:sSub>
                              <m:sSubPr>
                                <m:ctrlPr>
                                  <w:rPr>
                                    <w:rFonts w:ascii="Cambria Math" w:hAnsi="Cambria Math"/>
                                    <w:i/>
                                    <w:sz w:val="20"/>
                                    <w:szCs w:val="20"/>
                                    <w:lang w:eastAsia="zh-TW"/>
                                  </w:rPr>
                                </m:ctrlPr>
                              </m:sSubPr>
                              <m:e>
                                <m:r>
                                  <w:rPr>
                                    <w:rFonts w:ascii="Cambria Math" w:hAnsi="Cambria Math"/>
                                    <w:sz w:val="20"/>
                                    <w:szCs w:val="20"/>
                                    <w:lang w:eastAsia="zh-TW"/>
                                  </w:rPr>
                                  <m:t>N</m:t>
                                </m:r>
                              </m:e>
                              <m:sub>
                                <m:r>
                                  <w:rPr>
                                    <w:rFonts w:ascii="Cambria Math" w:hAnsi="Cambria Math"/>
                                    <w:sz w:val="20"/>
                                    <w:szCs w:val="20"/>
                                    <w:lang w:eastAsia="zh-TW"/>
                                  </w:rPr>
                                  <m:t>2</m:t>
                                </m:r>
                              </m:sub>
                            </m:sSub>
                            <m:sSub>
                              <m:sSubPr>
                                <m:ctrlPr>
                                  <w:rPr>
                                    <w:rFonts w:ascii="Cambria Math" w:hAnsi="Cambria Math"/>
                                    <w:i/>
                                    <w:sz w:val="20"/>
                                    <w:szCs w:val="20"/>
                                    <w:lang w:eastAsia="zh-TW"/>
                                  </w:rPr>
                                </m:ctrlPr>
                              </m:sSubPr>
                              <m:e>
                                <m:r>
                                  <w:rPr>
                                    <w:rFonts w:ascii="Cambria Math" w:hAnsi="Cambria Math"/>
                                    <w:sz w:val="20"/>
                                    <w:szCs w:val="20"/>
                                    <w:lang w:eastAsia="zh-TW"/>
                                  </w:rPr>
                                  <m:t>O</m:t>
                                </m:r>
                              </m:e>
                              <m:sub>
                                <m:r>
                                  <w:rPr>
                                    <w:rFonts w:ascii="Cambria Math" w:hAnsi="Cambria Math"/>
                                    <w:sz w:val="20"/>
                                    <w:szCs w:val="20"/>
                                    <w:lang w:eastAsia="zh-TW"/>
                                  </w:rPr>
                                  <m:t>2</m:t>
                                </m:r>
                              </m:sub>
                            </m:sSub>
                          </m:e>
                        </m:func>
                      </m:e>
                    </m:d>
                  </m:oMath>
                  <w:r w:rsidRPr="002B690E">
                    <w:rPr>
                      <w:sz w:val="20"/>
                      <w:szCs w:val="20"/>
                      <w:lang w:eastAsia="zh-TW"/>
                    </w:rPr>
                    <w:t xml:space="preserve"> bits, respectively  </w:t>
                  </w:r>
                </w:p>
                <w:p w:rsidR="00352FF1" w:rsidRPr="002B690E" w:rsidRDefault="00352FF1" w:rsidP="00352FF1">
                  <w:pPr>
                    <w:snapToGrid w:val="0"/>
                    <w:rPr>
                      <w:color w:val="000000"/>
                      <w:sz w:val="20"/>
                      <w:szCs w:val="20"/>
                    </w:rPr>
                  </w:pPr>
                  <w:r w:rsidRPr="002B690E">
                    <w:rPr>
                      <w:color w:val="000000"/>
                      <w:sz w:val="20"/>
                      <w:szCs w:val="20"/>
                    </w:rPr>
                    <w:t xml:space="preserve">Alt2: Separate (i1, i2) indicators of </w:t>
                  </w:r>
                  <m:oMath>
                    <m:d>
                      <m:dPr>
                        <m:begChr m:val="⌈"/>
                        <m:endChr m:val="⌉"/>
                        <m:ctrlPr>
                          <w:rPr>
                            <w:rFonts w:ascii="Cambria Math" w:hAnsi="Cambria Math"/>
                            <w:i/>
                            <w:color w:val="000000"/>
                            <w:sz w:val="20"/>
                            <w:szCs w:val="20"/>
                          </w:rPr>
                        </m:ctrlPr>
                      </m:dPr>
                      <m:e>
                        <m:func>
                          <m:funcPr>
                            <m:ctrlPr>
                              <w:rPr>
                                <w:rFonts w:ascii="Cambria Math" w:hAnsi="Cambria Math"/>
                                <w:i/>
                                <w:color w:val="000000"/>
                                <w:sz w:val="20"/>
                                <w:szCs w:val="20"/>
                              </w:rPr>
                            </m:ctrlPr>
                          </m:funcPr>
                          <m:fName>
                            <m:sSub>
                              <m:sSubPr>
                                <m:ctrlPr>
                                  <w:rPr>
                                    <w:rFonts w:ascii="Cambria Math" w:hAnsi="Cambria Math"/>
                                    <w:i/>
                                    <w:color w:val="000000"/>
                                    <w:sz w:val="20"/>
                                    <w:szCs w:val="20"/>
                                  </w:rPr>
                                </m:ctrlPr>
                              </m:sSubPr>
                              <m:e>
                                <m:r>
                                  <m:rPr>
                                    <m:sty m:val="p"/>
                                  </m:rPr>
                                  <w:rPr>
                                    <w:rFonts w:ascii="Cambria Math" w:hAnsi="Cambria Math"/>
                                    <w:color w:val="000000"/>
                                    <w:sz w:val="20"/>
                                    <w:szCs w:val="20"/>
                                  </w:rPr>
                                  <m:t>log</m:t>
                                </m:r>
                              </m:e>
                              <m:sub>
                                <m:r>
                                  <w:rPr>
                                    <w:rFonts w:ascii="Cambria Math" w:hAnsi="Cambria Math"/>
                                    <w:color w:val="000000"/>
                                    <w:sz w:val="20"/>
                                    <w:szCs w:val="20"/>
                                  </w:rPr>
                                  <m:t>2</m:t>
                                </m:r>
                              </m:sub>
                            </m:sSub>
                          </m:fName>
                          <m:e>
                            <m:sSub>
                              <m:sSubPr>
                                <m:ctrlPr>
                                  <w:rPr>
                                    <w:rFonts w:ascii="Cambria Math" w:hAnsi="Cambria Math"/>
                                    <w:i/>
                                    <w:color w:val="000000"/>
                                    <w:sz w:val="20"/>
                                    <w:szCs w:val="20"/>
                                  </w:rPr>
                                </m:ctrlPr>
                              </m:sSubPr>
                              <m:e>
                                <m:r>
                                  <w:rPr>
                                    <w:rFonts w:ascii="Cambria Math" w:hAnsi="Cambria Math"/>
                                    <w:color w:val="000000"/>
                                    <w:sz w:val="20"/>
                                    <w:szCs w:val="20"/>
                                  </w:rPr>
                                  <m:t>N</m:t>
                                </m:r>
                              </m:e>
                              <m:sub>
                                <m:r>
                                  <w:rPr>
                                    <w:rFonts w:ascii="Cambria Math" w:hAnsi="Cambria Math"/>
                                    <w:color w:val="000000"/>
                                    <w:sz w:val="20"/>
                                    <w:szCs w:val="20"/>
                                  </w:rPr>
                                  <m:t>1</m:t>
                                </m:r>
                              </m:sub>
                            </m:sSub>
                          </m:e>
                        </m:func>
                      </m:e>
                    </m:d>
                  </m:oMath>
                  <w:r w:rsidRPr="002B690E">
                    <w:rPr>
                      <w:color w:val="000000"/>
                      <w:sz w:val="20"/>
                      <w:szCs w:val="20"/>
                    </w:rPr>
                    <w:t xml:space="preserve"> bits and </w:t>
                  </w:r>
                  <m:oMath>
                    <m:d>
                      <m:dPr>
                        <m:begChr m:val="⌈"/>
                        <m:endChr m:val="⌉"/>
                        <m:ctrlPr>
                          <w:rPr>
                            <w:rFonts w:ascii="Cambria Math" w:hAnsi="Cambria Math"/>
                            <w:i/>
                            <w:color w:val="000000"/>
                            <w:sz w:val="20"/>
                            <w:szCs w:val="20"/>
                          </w:rPr>
                        </m:ctrlPr>
                      </m:dPr>
                      <m:e>
                        <m:func>
                          <m:funcPr>
                            <m:ctrlPr>
                              <w:rPr>
                                <w:rFonts w:ascii="Cambria Math" w:hAnsi="Cambria Math"/>
                                <w:i/>
                                <w:color w:val="000000"/>
                                <w:sz w:val="20"/>
                                <w:szCs w:val="20"/>
                              </w:rPr>
                            </m:ctrlPr>
                          </m:funcPr>
                          <m:fName>
                            <m:sSub>
                              <m:sSubPr>
                                <m:ctrlPr>
                                  <w:rPr>
                                    <w:rFonts w:ascii="Cambria Math" w:hAnsi="Cambria Math"/>
                                    <w:i/>
                                    <w:color w:val="000000"/>
                                    <w:sz w:val="20"/>
                                    <w:szCs w:val="20"/>
                                  </w:rPr>
                                </m:ctrlPr>
                              </m:sSubPr>
                              <m:e>
                                <m:r>
                                  <m:rPr>
                                    <m:sty m:val="p"/>
                                  </m:rPr>
                                  <w:rPr>
                                    <w:rFonts w:ascii="Cambria Math" w:hAnsi="Cambria Math"/>
                                    <w:color w:val="000000"/>
                                    <w:sz w:val="20"/>
                                    <w:szCs w:val="20"/>
                                  </w:rPr>
                                  <m:t>log</m:t>
                                </m:r>
                              </m:e>
                              <m:sub>
                                <m:r>
                                  <w:rPr>
                                    <w:rFonts w:ascii="Cambria Math" w:hAnsi="Cambria Math"/>
                                    <w:color w:val="000000"/>
                                    <w:sz w:val="20"/>
                                    <w:szCs w:val="20"/>
                                  </w:rPr>
                                  <m:t>2</m:t>
                                </m:r>
                              </m:sub>
                            </m:sSub>
                          </m:fName>
                          <m:e>
                            <m:sSub>
                              <m:sSubPr>
                                <m:ctrlPr>
                                  <w:rPr>
                                    <w:rFonts w:ascii="Cambria Math" w:hAnsi="Cambria Math"/>
                                    <w:i/>
                                    <w:color w:val="000000"/>
                                    <w:sz w:val="20"/>
                                    <w:szCs w:val="20"/>
                                  </w:rPr>
                                </m:ctrlPr>
                              </m:sSubPr>
                              <m:e>
                                <m:r>
                                  <w:rPr>
                                    <w:rFonts w:ascii="Cambria Math" w:hAnsi="Cambria Math"/>
                                    <w:color w:val="000000"/>
                                    <w:sz w:val="20"/>
                                    <w:szCs w:val="20"/>
                                  </w:rPr>
                                  <m:t>N</m:t>
                                </m:r>
                              </m:e>
                              <m:sub>
                                <m:r>
                                  <w:rPr>
                                    <w:rFonts w:ascii="Cambria Math" w:hAnsi="Cambria Math"/>
                                    <w:color w:val="000000"/>
                                    <w:sz w:val="20"/>
                                    <w:szCs w:val="20"/>
                                  </w:rPr>
                                  <m:t>2</m:t>
                                </m:r>
                              </m:sub>
                            </m:sSub>
                          </m:e>
                        </m:func>
                      </m:e>
                    </m:d>
                  </m:oMath>
                  <w:r w:rsidRPr="002B690E">
                    <w:rPr>
                      <w:color w:val="000000"/>
                      <w:sz w:val="20"/>
                      <w:szCs w:val="20"/>
                    </w:rPr>
                    <w:t xml:space="preserve"> bits, respectively; and separate (q</w:t>
                  </w:r>
                  <w:r w:rsidRPr="002B690E">
                    <w:rPr>
                      <w:color w:val="000000"/>
                      <w:sz w:val="20"/>
                      <w:szCs w:val="20"/>
                      <w:vertAlign w:val="subscript"/>
                    </w:rPr>
                    <w:t>1</w:t>
                  </w:r>
                  <w:r w:rsidRPr="002B690E">
                    <w:rPr>
                      <w:color w:val="000000"/>
                      <w:sz w:val="20"/>
                      <w:szCs w:val="20"/>
                    </w:rPr>
                    <w:t>, q</w:t>
                  </w:r>
                  <w:r w:rsidRPr="002B690E">
                    <w:rPr>
                      <w:color w:val="000000"/>
                      <w:sz w:val="20"/>
                      <w:szCs w:val="20"/>
                      <w:vertAlign w:val="subscript"/>
                    </w:rPr>
                    <w:t>2</w:t>
                  </w:r>
                  <w:r w:rsidRPr="002B690E">
                    <w:rPr>
                      <w:color w:val="000000"/>
                      <w:sz w:val="20"/>
                      <w:szCs w:val="20"/>
                    </w:rPr>
                    <w:t xml:space="preserve">) indicators of  </w:t>
                  </w:r>
                  <m:oMath>
                    <m:d>
                      <m:dPr>
                        <m:begChr m:val="⌈"/>
                        <m:endChr m:val="⌉"/>
                        <m:ctrlPr>
                          <w:rPr>
                            <w:rFonts w:ascii="Cambria Math" w:hAnsi="Cambria Math"/>
                            <w:i/>
                            <w:color w:val="000000"/>
                            <w:sz w:val="20"/>
                            <w:szCs w:val="20"/>
                          </w:rPr>
                        </m:ctrlPr>
                      </m:dPr>
                      <m:e>
                        <m:func>
                          <m:funcPr>
                            <m:ctrlPr>
                              <w:rPr>
                                <w:rFonts w:ascii="Cambria Math" w:hAnsi="Cambria Math"/>
                                <w:i/>
                                <w:color w:val="000000"/>
                                <w:sz w:val="20"/>
                                <w:szCs w:val="20"/>
                              </w:rPr>
                            </m:ctrlPr>
                          </m:funcPr>
                          <m:fName>
                            <m:sSub>
                              <m:sSubPr>
                                <m:ctrlPr>
                                  <w:rPr>
                                    <w:rFonts w:ascii="Cambria Math" w:hAnsi="Cambria Math"/>
                                    <w:i/>
                                    <w:color w:val="000000"/>
                                    <w:sz w:val="20"/>
                                    <w:szCs w:val="20"/>
                                  </w:rPr>
                                </m:ctrlPr>
                              </m:sSubPr>
                              <m:e>
                                <m:r>
                                  <m:rPr>
                                    <m:sty m:val="p"/>
                                  </m:rPr>
                                  <w:rPr>
                                    <w:rFonts w:ascii="Cambria Math" w:hAnsi="Cambria Math"/>
                                    <w:color w:val="000000"/>
                                    <w:sz w:val="20"/>
                                    <w:szCs w:val="20"/>
                                  </w:rPr>
                                  <m:t>log</m:t>
                                </m:r>
                              </m:e>
                              <m:sub>
                                <m:r>
                                  <w:rPr>
                                    <w:rFonts w:ascii="Cambria Math" w:hAnsi="Cambria Math"/>
                                    <w:color w:val="000000"/>
                                    <w:sz w:val="20"/>
                                    <w:szCs w:val="20"/>
                                  </w:rPr>
                                  <m:t>2</m:t>
                                </m:r>
                              </m:sub>
                            </m:sSub>
                          </m:fName>
                          <m:e>
                            <m:sSub>
                              <m:sSubPr>
                                <m:ctrlPr>
                                  <w:rPr>
                                    <w:rFonts w:ascii="Cambria Math" w:hAnsi="Cambria Math"/>
                                    <w:i/>
                                    <w:color w:val="000000"/>
                                    <w:sz w:val="20"/>
                                    <w:szCs w:val="20"/>
                                  </w:rPr>
                                </m:ctrlPr>
                              </m:sSubPr>
                              <m:e>
                                <m:r>
                                  <w:rPr>
                                    <w:rFonts w:ascii="Cambria Math" w:hAnsi="Cambria Math"/>
                                    <w:color w:val="000000"/>
                                    <w:sz w:val="20"/>
                                    <w:szCs w:val="20"/>
                                  </w:rPr>
                                  <m:t>O</m:t>
                                </m:r>
                              </m:e>
                              <m:sub>
                                <m:r>
                                  <w:rPr>
                                    <w:rFonts w:ascii="Cambria Math" w:hAnsi="Cambria Math"/>
                                    <w:color w:val="000000"/>
                                    <w:sz w:val="20"/>
                                    <w:szCs w:val="20"/>
                                  </w:rPr>
                                  <m:t>1</m:t>
                                </m:r>
                              </m:sub>
                            </m:sSub>
                          </m:e>
                        </m:func>
                      </m:e>
                    </m:d>
                  </m:oMath>
                  <w:r w:rsidRPr="002B690E">
                    <w:rPr>
                      <w:color w:val="000000"/>
                      <w:sz w:val="20"/>
                      <w:szCs w:val="20"/>
                    </w:rPr>
                    <w:t xml:space="preserve"> bits and </w:t>
                  </w:r>
                  <m:oMath>
                    <m:d>
                      <m:dPr>
                        <m:begChr m:val="⌈"/>
                        <m:endChr m:val="⌉"/>
                        <m:ctrlPr>
                          <w:rPr>
                            <w:rFonts w:ascii="Cambria Math" w:hAnsi="Cambria Math"/>
                            <w:i/>
                            <w:color w:val="000000"/>
                            <w:sz w:val="20"/>
                            <w:szCs w:val="20"/>
                          </w:rPr>
                        </m:ctrlPr>
                      </m:dPr>
                      <m:e>
                        <m:func>
                          <m:funcPr>
                            <m:ctrlPr>
                              <w:rPr>
                                <w:rFonts w:ascii="Cambria Math" w:hAnsi="Cambria Math"/>
                                <w:i/>
                                <w:color w:val="000000"/>
                                <w:sz w:val="20"/>
                                <w:szCs w:val="20"/>
                              </w:rPr>
                            </m:ctrlPr>
                          </m:funcPr>
                          <m:fName>
                            <m:sSub>
                              <m:sSubPr>
                                <m:ctrlPr>
                                  <w:rPr>
                                    <w:rFonts w:ascii="Cambria Math" w:hAnsi="Cambria Math"/>
                                    <w:i/>
                                    <w:color w:val="000000"/>
                                    <w:sz w:val="20"/>
                                    <w:szCs w:val="20"/>
                                  </w:rPr>
                                </m:ctrlPr>
                              </m:sSubPr>
                              <m:e>
                                <m:r>
                                  <m:rPr>
                                    <m:sty m:val="p"/>
                                  </m:rPr>
                                  <w:rPr>
                                    <w:rFonts w:ascii="Cambria Math" w:hAnsi="Cambria Math"/>
                                    <w:color w:val="000000"/>
                                    <w:sz w:val="20"/>
                                    <w:szCs w:val="20"/>
                                  </w:rPr>
                                  <m:t>log</m:t>
                                </m:r>
                              </m:e>
                              <m:sub>
                                <m:r>
                                  <w:rPr>
                                    <w:rFonts w:ascii="Cambria Math" w:hAnsi="Cambria Math"/>
                                    <w:color w:val="000000"/>
                                    <w:sz w:val="20"/>
                                    <w:szCs w:val="20"/>
                                  </w:rPr>
                                  <m:t>2</m:t>
                                </m:r>
                              </m:sub>
                            </m:sSub>
                          </m:fName>
                          <m:e>
                            <m:sSub>
                              <m:sSubPr>
                                <m:ctrlPr>
                                  <w:rPr>
                                    <w:rFonts w:ascii="Cambria Math" w:hAnsi="Cambria Math"/>
                                    <w:i/>
                                    <w:color w:val="000000"/>
                                    <w:sz w:val="20"/>
                                    <w:szCs w:val="20"/>
                                  </w:rPr>
                                </m:ctrlPr>
                              </m:sSubPr>
                              <m:e>
                                <m:r>
                                  <w:rPr>
                                    <w:rFonts w:ascii="Cambria Math" w:hAnsi="Cambria Math"/>
                                    <w:color w:val="000000"/>
                                    <w:sz w:val="20"/>
                                    <w:szCs w:val="20"/>
                                  </w:rPr>
                                  <m:t>O</m:t>
                                </m:r>
                              </m:e>
                              <m:sub>
                                <m:r>
                                  <w:rPr>
                                    <w:rFonts w:ascii="Cambria Math" w:hAnsi="Cambria Math"/>
                                    <w:color w:val="000000"/>
                                    <w:sz w:val="20"/>
                                    <w:szCs w:val="20"/>
                                  </w:rPr>
                                  <m:t>2</m:t>
                                </m:r>
                              </m:sub>
                            </m:sSub>
                          </m:e>
                        </m:func>
                      </m:e>
                    </m:d>
                  </m:oMath>
                  <w:r w:rsidRPr="002B690E">
                    <w:rPr>
                      <w:color w:val="000000"/>
                      <w:sz w:val="20"/>
                      <w:szCs w:val="20"/>
                    </w:rPr>
                    <w:t xml:space="preserve"> bits, respectively.</w:t>
                  </w:r>
                </w:p>
                <w:p w:rsidR="00352FF1" w:rsidRPr="002B690E" w:rsidRDefault="00352FF1" w:rsidP="00352FF1">
                  <w:pPr>
                    <w:snapToGrid w:val="0"/>
                    <w:rPr>
                      <w:color w:val="000000"/>
                      <w:sz w:val="20"/>
                      <w:szCs w:val="20"/>
                    </w:rPr>
                  </w:pPr>
                </w:p>
              </w:tc>
            </w:tr>
            <w:tr w:rsidR="00352FF1" w:rsidRPr="002B690E" w:rsidTr="006B4EF6">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352FF1" w:rsidRPr="002B690E" w:rsidRDefault="00352FF1" w:rsidP="00352FF1">
                  <w:pPr>
                    <w:snapToGrid w:val="0"/>
                    <w:rPr>
                      <w:sz w:val="20"/>
                      <w:szCs w:val="20"/>
                    </w:rPr>
                  </w:pPr>
                  <w:r w:rsidRPr="002B690E">
                    <w:rPr>
                      <w:sz w:val="20"/>
                      <w:szCs w:val="20"/>
                    </w:rPr>
                    <w:t>Second SD basis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rsidR="00352FF1" w:rsidRPr="002B690E" w:rsidRDefault="00352FF1" w:rsidP="00352FF1">
                  <w:pPr>
                    <w:snapToGrid w:val="0"/>
                    <w:rPr>
                      <w:sz w:val="20"/>
                      <w:szCs w:val="20"/>
                    </w:rPr>
                  </w:pPr>
                  <w:r w:rsidRPr="002B690E">
                    <w:rPr>
                      <w:sz w:val="20"/>
                      <w:szCs w:val="20"/>
                    </w:rPr>
                    <w:t xml:space="preserve">Part 2 </w:t>
                  </w:r>
                </w:p>
                <w:p w:rsidR="00352FF1" w:rsidRPr="002B690E" w:rsidRDefault="00352FF1" w:rsidP="00352FF1">
                  <w:pPr>
                    <w:snapToGrid w:val="0"/>
                    <w:rPr>
                      <w:sz w:val="20"/>
                      <w:szCs w:val="20"/>
                    </w:rPr>
                  </w:pPr>
                </w:p>
                <w:p w:rsidR="00352FF1" w:rsidRPr="002B690E" w:rsidRDefault="00352FF1" w:rsidP="00352FF1">
                  <w:pPr>
                    <w:snapToGrid w:val="0"/>
                    <w:rPr>
                      <w:sz w:val="20"/>
                      <w:szCs w:val="20"/>
                    </w:rPr>
                  </w:pPr>
                  <w:r w:rsidRPr="002B690E">
                    <w:rPr>
                      <w:sz w:val="20"/>
                      <w:szCs w:val="20"/>
                    </w:rPr>
                    <w:t>Wideband</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rsidR="00352FF1" w:rsidRPr="002B690E" w:rsidRDefault="00352FF1" w:rsidP="00352FF1">
                  <w:pPr>
                    <w:snapToGrid w:val="0"/>
                    <w:rPr>
                      <w:sz w:val="20"/>
                      <w:szCs w:val="20"/>
                    </w:rPr>
                  </w:pPr>
                  <w:r w:rsidRPr="002B690E">
                    <w:rPr>
                      <w:i/>
                      <w:sz w:val="20"/>
                      <w:szCs w:val="20"/>
                    </w:rPr>
                    <w:t>v</w:t>
                  </w:r>
                  <w:r w:rsidRPr="002B690E">
                    <w:rPr>
                      <w:sz w:val="20"/>
                      <w:szCs w:val="20"/>
                    </w:rPr>
                    <w:t xml:space="preserve">=5-8: Freely select the other </w:t>
                  </w:r>
                  <w:r w:rsidRPr="002B690E">
                    <w:rPr>
                      <w:i/>
                      <w:sz w:val="20"/>
                      <w:szCs w:val="20"/>
                    </w:rPr>
                    <w:t>n</w:t>
                  </w:r>
                  <w:r w:rsidRPr="002B690E">
                    <w:rPr>
                      <w:i/>
                      <w:sz w:val="20"/>
                      <w:szCs w:val="20"/>
                      <w:vertAlign w:val="subscript"/>
                    </w:rPr>
                    <w:t>SDBV</w:t>
                  </w:r>
                  <w:r w:rsidRPr="002B690E">
                    <w:rPr>
                      <w:sz w:val="20"/>
                      <w:szCs w:val="20"/>
                    </w:rPr>
                    <w:t>=2 (</w:t>
                  </w:r>
                  <w:r w:rsidRPr="002B690E">
                    <w:rPr>
                      <w:i/>
                      <w:sz w:val="20"/>
                      <w:szCs w:val="20"/>
                    </w:rPr>
                    <w:t>v</w:t>
                  </w:r>
                  <w:r w:rsidRPr="002B690E">
                    <w:rPr>
                      <w:sz w:val="20"/>
                      <w:szCs w:val="20"/>
                    </w:rPr>
                    <w:t>=5-6) or 3 (</w:t>
                  </w:r>
                  <w:r w:rsidRPr="002B690E">
                    <w:rPr>
                      <w:i/>
                      <w:sz w:val="20"/>
                      <w:szCs w:val="20"/>
                    </w:rPr>
                    <w:t>v</w:t>
                  </w:r>
                  <w:r w:rsidRPr="002B690E">
                    <w:rPr>
                      <w:sz w:val="20"/>
                      <w:szCs w:val="20"/>
                    </w:rPr>
                    <w:t xml:space="preserve">=7-8) SD basis vectors such that they are orthogonal in at least one dimension (horizontal or vertical). </w:t>
                  </w:r>
                </w:p>
                <w:p w:rsidR="00352FF1" w:rsidRPr="002B690E" w:rsidRDefault="00352FF1" w:rsidP="00352FF1">
                  <w:pPr>
                    <w:snapToGrid w:val="0"/>
                    <w:rPr>
                      <w:sz w:val="20"/>
                      <w:szCs w:val="20"/>
                    </w:rPr>
                  </w:pPr>
                </w:p>
                <w:p w:rsidR="00352FF1" w:rsidRPr="002B690E" w:rsidRDefault="00352FF1" w:rsidP="00352FF1">
                  <w:pPr>
                    <w:snapToGrid w:val="0"/>
                    <w:rPr>
                      <w:sz w:val="20"/>
                      <w:szCs w:val="20"/>
                    </w:rPr>
                  </w:pPr>
                  <w:r w:rsidRPr="002B690E">
                    <w:rPr>
                      <w:sz w:val="20"/>
                      <w:szCs w:val="20"/>
                    </w:rPr>
                    <w:t>Decide (by RAN1#118) the indication scheme.</w:t>
                  </w:r>
                </w:p>
                <w:p w:rsidR="00352FF1" w:rsidRPr="002B690E" w:rsidRDefault="00352FF1" w:rsidP="00352FF1">
                  <w:pPr>
                    <w:snapToGrid w:val="0"/>
                    <w:rPr>
                      <w:rFonts w:eastAsia="Malgun Gothic"/>
                      <w:b/>
                      <w:sz w:val="20"/>
                      <w:szCs w:val="20"/>
                    </w:rPr>
                  </w:pPr>
                </w:p>
              </w:tc>
            </w:tr>
            <w:tr w:rsidR="00352FF1" w:rsidRPr="002B690E" w:rsidTr="006B4EF6">
              <w:trPr>
                <w:trHeight w:val="156"/>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352FF1" w:rsidRPr="002B690E" w:rsidRDefault="00352FF1" w:rsidP="00352FF1">
                  <w:pPr>
                    <w:snapToGrid w:val="0"/>
                    <w:rPr>
                      <w:sz w:val="20"/>
                      <w:szCs w:val="20"/>
                    </w:rPr>
                  </w:pPr>
                  <w:r w:rsidRPr="002B690E">
                    <w:rPr>
                      <w:sz w:val="20"/>
                      <w:szCs w:val="20"/>
                    </w:rPr>
                    <w:t>Inter-pol co-phase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rsidR="00352FF1" w:rsidRPr="002B690E" w:rsidRDefault="00352FF1" w:rsidP="00352FF1">
                  <w:pPr>
                    <w:snapToGrid w:val="0"/>
                    <w:rPr>
                      <w:sz w:val="20"/>
                      <w:szCs w:val="20"/>
                    </w:rPr>
                  </w:pPr>
                  <w:r w:rsidRPr="002B690E">
                    <w:rPr>
                      <w:sz w:val="20"/>
                      <w:szCs w:val="20"/>
                    </w:rPr>
                    <w:t>Part 2</w:t>
                  </w:r>
                </w:p>
                <w:p w:rsidR="00352FF1" w:rsidRPr="002B690E" w:rsidRDefault="00352FF1" w:rsidP="00352FF1">
                  <w:pPr>
                    <w:snapToGrid w:val="0"/>
                    <w:rPr>
                      <w:sz w:val="20"/>
                      <w:szCs w:val="20"/>
                    </w:rPr>
                  </w:pPr>
                </w:p>
                <w:p w:rsidR="00352FF1" w:rsidRPr="002B690E" w:rsidRDefault="00352FF1" w:rsidP="00352FF1">
                  <w:pPr>
                    <w:snapToGrid w:val="0"/>
                    <w:rPr>
                      <w:sz w:val="20"/>
                      <w:szCs w:val="20"/>
                    </w:rPr>
                  </w:pPr>
                  <w:r w:rsidRPr="002B690E">
                    <w:rPr>
                      <w:sz w:val="20"/>
                      <w:szCs w:val="20"/>
                    </w:rPr>
                    <w:t>Wideband or Subband (**)</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rsidR="00352FF1" w:rsidRPr="002B690E" w:rsidRDefault="00352FF1" w:rsidP="00352FF1">
                  <w:pPr>
                    <w:snapToGrid w:val="0"/>
                    <w:rPr>
                      <w:sz w:val="20"/>
                      <w:szCs w:val="20"/>
                    </w:rPr>
                  </w:pPr>
                  <w:r w:rsidRPr="002B690E">
                    <w:rPr>
                      <w:i/>
                      <w:sz w:val="20"/>
                      <w:szCs w:val="20"/>
                    </w:rPr>
                    <w:t>v</w:t>
                  </w:r>
                  <w:r w:rsidRPr="002B690E">
                    <w:rPr>
                      <w:sz w:val="20"/>
                      <w:szCs w:val="20"/>
                    </w:rPr>
                    <w:t xml:space="preserve">=5-8: Same as legacy Rel-15 Type-I SP </w:t>
                  </w:r>
                </w:p>
              </w:tc>
            </w:tr>
          </w:tbl>
          <w:p w:rsidR="00352FF1" w:rsidRPr="002B690E" w:rsidRDefault="00352FF1" w:rsidP="00352FF1">
            <w:pPr>
              <w:snapToGrid w:val="0"/>
              <w:rPr>
                <w:color w:val="FF0000"/>
                <w:sz w:val="20"/>
                <w:szCs w:val="20"/>
              </w:rPr>
            </w:pPr>
            <w:r w:rsidRPr="002B690E">
              <w:rPr>
                <w:color w:val="FF0000"/>
                <w:sz w:val="20"/>
                <w:szCs w:val="20"/>
              </w:rPr>
              <w:t>(*): Not included when CQI reporting granularity is set to ‘wideband’</w:t>
            </w:r>
          </w:p>
          <w:p w:rsidR="00352FF1" w:rsidRPr="002B690E" w:rsidRDefault="00352FF1" w:rsidP="00352FF1">
            <w:pPr>
              <w:snapToGrid w:val="0"/>
              <w:rPr>
                <w:color w:val="FF0000"/>
                <w:sz w:val="20"/>
                <w:szCs w:val="20"/>
              </w:rPr>
            </w:pPr>
            <w:r w:rsidRPr="002B690E">
              <w:rPr>
                <w:color w:val="FF0000"/>
                <w:sz w:val="20"/>
                <w:szCs w:val="20"/>
              </w:rPr>
              <w:t>(**): Wideband when PMI reporting is set to ‘wideband’, Subband when PMI reporting granularity is set to ‘subband’</w:t>
            </w:r>
          </w:p>
          <w:p w:rsidR="00352FF1" w:rsidRPr="002B690E" w:rsidRDefault="00352FF1" w:rsidP="00352FF1">
            <w:pPr>
              <w:snapToGrid w:val="0"/>
              <w:jc w:val="both"/>
              <w:rPr>
                <w:color w:val="3333FF"/>
                <w:sz w:val="20"/>
                <w:szCs w:val="20"/>
              </w:rPr>
            </w:pPr>
          </w:p>
          <w:p w:rsidR="00352FF1" w:rsidRPr="002B690E" w:rsidRDefault="00352FF1" w:rsidP="00352FF1">
            <w:pPr>
              <w:rPr>
                <w:b/>
                <w:bCs/>
                <w:sz w:val="20"/>
                <w:szCs w:val="20"/>
                <w:highlight w:val="green"/>
                <w:lang w:eastAsia="x-none"/>
              </w:rPr>
            </w:pPr>
            <w:r w:rsidRPr="002B690E">
              <w:rPr>
                <w:b/>
                <w:bCs/>
                <w:sz w:val="20"/>
                <w:szCs w:val="20"/>
                <w:highlight w:val="green"/>
                <w:lang w:eastAsia="x-none"/>
              </w:rPr>
              <w:t>Agreement</w:t>
            </w:r>
          </w:p>
          <w:p w:rsidR="00352FF1" w:rsidRPr="002B690E" w:rsidRDefault="00352FF1" w:rsidP="00352FF1">
            <w:pPr>
              <w:widowControl w:val="0"/>
              <w:snapToGrid w:val="0"/>
              <w:rPr>
                <w:sz w:val="20"/>
                <w:szCs w:val="20"/>
              </w:rPr>
            </w:pPr>
            <w:r w:rsidRPr="002B690E">
              <w:rPr>
                <w:sz w:val="20"/>
                <w:szCs w:val="20"/>
              </w:rPr>
              <w:t xml:space="preserve">For the Rel-19 Type-I and Type-II codebook refinement for 48, 64, and 128 CSI-RS ports, regarding NZP CSI-RS resource aggregation to attain 32 &lt; P (or PCSI-RS) ≤ 128, for AP-CSI-RS where the K NZP CSI-RS resources are located in two consecutive slots, </w:t>
            </w:r>
          </w:p>
          <w:p w:rsidR="00352FF1" w:rsidRPr="002B690E" w:rsidRDefault="00352FF1" w:rsidP="00352FF1">
            <w:pPr>
              <w:pStyle w:val="ListParagraph"/>
              <w:widowControl w:val="0"/>
              <w:numPr>
                <w:ilvl w:val="0"/>
                <w:numId w:val="722"/>
              </w:numPr>
              <w:snapToGrid w:val="0"/>
              <w:ind w:leftChars="0" w:left="400" w:hanging="400"/>
              <w:rPr>
                <w:rFonts w:ascii="Times New Roman" w:hAnsi="Times New Roman"/>
                <w:szCs w:val="20"/>
              </w:rPr>
            </w:pPr>
            <w:r w:rsidRPr="002B690E">
              <w:rPr>
                <w:rFonts w:ascii="Times New Roman" w:hAnsi="Times New Roman"/>
                <w:szCs w:val="20"/>
              </w:rPr>
              <w:t>Except for codebook refinement based on Rel-18 Type-II Doppler, introduce per-resource higher-layer (RRC) configuration to indicate (via 1-bit per resource) whether 1-slot offset relative to the legacy resource-set-level slot offset configuration should be assumed or not</w:t>
            </w:r>
          </w:p>
          <w:p w:rsidR="00352FF1" w:rsidRPr="002B690E" w:rsidRDefault="00352FF1" w:rsidP="00352FF1">
            <w:pPr>
              <w:pStyle w:val="ListParagraph"/>
              <w:numPr>
                <w:ilvl w:val="0"/>
                <w:numId w:val="722"/>
              </w:numPr>
              <w:snapToGrid w:val="0"/>
              <w:ind w:leftChars="0" w:left="400" w:hanging="400"/>
              <w:rPr>
                <w:rFonts w:ascii="Times New Roman" w:hAnsi="Times New Roman"/>
                <w:szCs w:val="20"/>
              </w:rPr>
            </w:pPr>
            <w:r w:rsidRPr="002B690E">
              <w:rPr>
                <w:rFonts w:ascii="Times New Roman" w:hAnsi="Times New Roman"/>
                <w:szCs w:val="20"/>
              </w:rPr>
              <w:t>For codebook refinement based on Rel-18 Type-II Doppler, introduce per-resource higher-layer (RRC) configuration to indicate (via 1-bit per resource) whether 1-slot offset relative to the resource group slot offset should be assumed or not</w:t>
            </w:r>
          </w:p>
          <w:p w:rsidR="00352FF1" w:rsidRPr="002B690E" w:rsidRDefault="00352FF1" w:rsidP="00352FF1">
            <w:pPr>
              <w:rPr>
                <w:iCs/>
                <w:sz w:val="20"/>
                <w:szCs w:val="20"/>
                <w:lang w:eastAsia="x-none"/>
              </w:rPr>
            </w:pPr>
          </w:p>
          <w:p w:rsidR="00352FF1" w:rsidRPr="002B690E" w:rsidRDefault="00352FF1" w:rsidP="00352FF1">
            <w:pPr>
              <w:rPr>
                <w:b/>
                <w:bCs/>
                <w:sz w:val="20"/>
                <w:szCs w:val="20"/>
                <w:highlight w:val="green"/>
                <w:lang w:eastAsia="x-none"/>
              </w:rPr>
            </w:pPr>
            <w:r w:rsidRPr="002B690E">
              <w:rPr>
                <w:b/>
                <w:bCs/>
                <w:sz w:val="20"/>
                <w:szCs w:val="20"/>
                <w:highlight w:val="green"/>
                <w:lang w:eastAsia="x-none"/>
              </w:rPr>
              <w:t>Agreement</w:t>
            </w:r>
          </w:p>
          <w:p w:rsidR="00352FF1" w:rsidRPr="002B690E" w:rsidRDefault="00352FF1" w:rsidP="00352FF1">
            <w:pPr>
              <w:jc w:val="both"/>
              <w:rPr>
                <w:rFonts w:eastAsia="DengXian"/>
                <w:iCs/>
                <w:sz w:val="20"/>
                <w:szCs w:val="20"/>
              </w:rPr>
            </w:pPr>
            <w:r w:rsidRPr="002B690E">
              <w:rPr>
                <w:rFonts w:eastAsia="Malgun Gothic"/>
                <w:sz w:val="20"/>
                <w:szCs w:val="20"/>
                <w:lang w:eastAsia="zh-TW"/>
              </w:rPr>
              <w:t xml:space="preserve">For the Rel-19 Type-I SP codebook refinement for 48, 64, and 128 CSI-RS ports, regarding the </w:t>
            </w:r>
            <w:r w:rsidRPr="002B690E">
              <w:rPr>
                <w:rFonts w:eastAsia="DengXian"/>
                <w:iCs/>
                <w:sz w:val="20"/>
                <w:szCs w:val="20"/>
              </w:rPr>
              <w:t xml:space="preserve">port subset indication (from the Rel-18 SD NES Type-1), extend the bitmap (i.e., </w:t>
            </w:r>
            <w:r w:rsidRPr="002B690E">
              <w:rPr>
                <w:rFonts w:eastAsia="SimSun"/>
                <w:i/>
                <w:iCs/>
                <w:sz w:val="20"/>
                <w:szCs w:val="20"/>
              </w:rPr>
              <w:t>port-subsetIndicator</w:t>
            </w:r>
            <w:r w:rsidRPr="002B690E">
              <w:rPr>
                <w:rFonts w:eastAsia="DengXian"/>
                <w:iCs/>
                <w:sz w:val="20"/>
                <w:szCs w:val="20"/>
              </w:rPr>
              <w:t>) by adding p48, p64, and p128 along with their appropriate lengths</w:t>
            </w:r>
          </w:p>
          <w:p w:rsidR="00352FF1" w:rsidRPr="002B690E" w:rsidRDefault="00352FF1" w:rsidP="00352FF1">
            <w:pPr>
              <w:pStyle w:val="ListParagraph"/>
              <w:numPr>
                <w:ilvl w:val="0"/>
                <w:numId w:val="722"/>
              </w:numPr>
              <w:snapToGrid w:val="0"/>
              <w:ind w:leftChars="0" w:left="400" w:hanging="400"/>
              <w:jc w:val="both"/>
              <w:rPr>
                <w:rFonts w:ascii="Times New Roman" w:eastAsia="Malgun Gothic" w:hAnsi="Times New Roman"/>
                <w:szCs w:val="20"/>
                <w:lang w:eastAsia="zh-TW"/>
              </w:rPr>
            </w:pPr>
            <w:r w:rsidRPr="002B690E">
              <w:rPr>
                <w:rFonts w:ascii="Times New Roman" w:eastAsia="Malgun Gothic" w:hAnsi="Times New Roman"/>
                <w:szCs w:val="20"/>
                <w:lang w:eastAsia="zh-TW"/>
              </w:rPr>
              <w:t>Note: Per previous agreements, K is the number of aggregated NZP CSI-RS resources to attain 32 &lt; P (or P</w:t>
            </w:r>
            <w:r w:rsidRPr="002B690E">
              <w:rPr>
                <w:rFonts w:ascii="Times New Roman" w:eastAsia="Malgun Gothic" w:hAnsi="Times New Roman"/>
                <w:szCs w:val="20"/>
                <w:vertAlign w:val="subscript"/>
                <w:lang w:eastAsia="zh-TW"/>
              </w:rPr>
              <w:t>CSI-RS</w:t>
            </w:r>
            <w:r w:rsidRPr="002B690E">
              <w:rPr>
                <w:rFonts w:ascii="Times New Roman" w:eastAsia="Malgun Gothic" w:hAnsi="Times New Roman"/>
                <w:szCs w:val="20"/>
                <w:lang w:eastAsia="zh-TW"/>
              </w:rPr>
              <w:t>) ≤ 128</w:t>
            </w:r>
          </w:p>
          <w:p w:rsidR="00352FF1" w:rsidRPr="002B690E" w:rsidRDefault="00352FF1" w:rsidP="00352FF1">
            <w:pPr>
              <w:jc w:val="both"/>
              <w:rPr>
                <w:rFonts w:eastAsia="DengXian"/>
                <w:b/>
                <w:bCs/>
                <w:sz w:val="20"/>
                <w:szCs w:val="20"/>
                <w:highlight w:val="green"/>
              </w:rPr>
            </w:pPr>
          </w:p>
          <w:p w:rsidR="00352FF1" w:rsidRPr="002B690E" w:rsidRDefault="00352FF1" w:rsidP="00352FF1">
            <w:pPr>
              <w:rPr>
                <w:b/>
                <w:bCs/>
                <w:sz w:val="20"/>
                <w:szCs w:val="20"/>
                <w:highlight w:val="green"/>
                <w:lang w:eastAsia="x-none"/>
              </w:rPr>
            </w:pPr>
            <w:r w:rsidRPr="002B690E">
              <w:rPr>
                <w:b/>
                <w:bCs/>
                <w:sz w:val="20"/>
                <w:szCs w:val="20"/>
                <w:highlight w:val="green"/>
                <w:lang w:eastAsia="x-none"/>
              </w:rPr>
              <w:t>Agreement</w:t>
            </w:r>
          </w:p>
          <w:p w:rsidR="00352FF1" w:rsidRPr="002B690E" w:rsidRDefault="00352FF1" w:rsidP="00352FF1">
            <w:pPr>
              <w:jc w:val="both"/>
              <w:rPr>
                <w:rFonts w:eastAsia="Malgun Gothic"/>
                <w:sz w:val="20"/>
                <w:szCs w:val="20"/>
                <w:lang w:eastAsia="zh-TW"/>
              </w:rPr>
            </w:pPr>
            <w:r w:rsidRPr="002B690E">
              <w:rPr>
                <w:rFonts w:eastAsia="Malgun Gothic"/>
                <w:sz w:val="20"/>
                <w:szCs w:val="20"/>
                <w:lang w:eastAsia="zh-TW"/>
              </w:rPr>
              <w:t>For the Rel-19 Type-I</w:t>
            </w:r>
            <w:r w:rsidRPr="002B690E">
              <w:rPr>
                <w:sz w:val="20"/>
                <w:szCs w:val="20"/>
              </w:rPr>
              <w:t xml:space="preserve"> </w:t>
            </w:r>
            <w:r w:rsidRPr="002B690E">
              <w:rPr>
                <w:rFonts w:eastAsia="Malgun Gothic"/>
                <w:sz w:val="20"/>
                <w:szCs w:val="20"/>
                <w:lang w:eastAsia="zh-TW"/>
              </w:rPr>
              <w:t>multi-panel (MP) codebook refinement for 48, 64, and 128 CSI-RS ports, regarding the W</w:t>
            </w:r>
            <w:r w:rsidRPr="002B690E">
              <w:rPr>
                <w:rFonts w:eastAsia="Malgun Gothic"/>
                <w:sz w:val="20"/>
                <w:szCs w:val="20"/>
                <w:vertAlign w:val="subscript"/>
                <w:lang w:eastAsia="zh-TW"/>
              </w:rPr>
              <w:t>2</w:t>
            </w:r>
            <w:r w:rsidRPr="002B690E">
              <w:rPr>
                <w:rFonts w:eastAsia="Malgun Gothic"/>
                <w:sz w:val="20"/>
                <w:szCs w:val="20"/>
                <w:lang w:eastAsia="zh-TW"/>
              </w:rPr>
              <w:t xml:space="preserve"> structure, clarify that:</w:t>
            </w:r>
          </w:p>
          <w:p w:rsidR="00352FF1" w:rsidRPr="002B690E" w:rsidRDefault="00352FF1" w:rsidP="00352FF1">
            <w:pPr>
              <w:pStyle w:val="ListParagraph"/>
              <w:numPr>
                <w:ilvl w:val="0"/>
                <w:numId w:val="988"/>
              </w:numPr>
              <w:snapToGrid w:val="0"/>
              <w:ind w:leftChars="0" w:left="400" w:hanging="400"/>
              <w:rPr>
                <w:rFonts w:ascii="Times New Roman" w:eastAsia="DengXian" w:hAnsi="Times New Roman"/>
                <w:bCs/>
                <w:szCs w:val="20"/>
                <w:lang w:eastAsia="zh-CN"/>
              </w:rPr>
            </w:pPr>
            <w:r w:rsidRPr="002B690E">
              <w:rPr>
                <w:rFonts w:ascii="Times New Roman" w:eastAsia="DengXian" w:hAnsi="Times New Roman"/>
                <w:bCs/>
                <w:szCs w:val="20"/>
                <w:lang w:eastAsia="zh-CN"/>
              </w:rPr>
              <w:t>Inter-polarization co-phasing is based on legacy Rel-15 Type-I SP codebookMode=1 for P</w:t>
            </w:r>
            <w:r w:rsidRPr="002B690E">
              <w:rPr>
                <w:rFonts w:ascii="Times New Roman" w:eastAsia="DengXian" w:hAnsi="Times New Roman"/>
                <w:bCs/>
                <w:szCs w:val="20"/>
                <w:vertAlign w:val="subscript"/>
                <w:lang w:eastAsia="zh-CN"/>
              </w:rPr>
              <w:t>CSI-RS</w:t>
            </w:r>
            <w:r w:rsidRPr="002B690E">
              <w:rPr>
                <w:rFonts w:ascii="Times New Roman" w:eastAsia="DengXian" w:hAnsi="Times New Roman"/>
                <w:bCs/>
                <w:szCs w:val="20"/>
                <w:lang w:eastAsia="zh-CN"/>
              </w:rPr>
              <w:t>&lt;16</w:t>
            </w:r>
          </w:p>
          <w:p w:rsidR="00352FF1" w:rsidRPr="002B690E" w:rsidRDefault="00352FF1" w:rsidP="00352FF1">
            <w:pPr>
              <w:pStyle w:val="ListParagraph"/>
              <w:numPr>
                <w:ilvl w:val="0"/>
                <w:numId w:val="988"/>
              </w:numPr>
              <w:snapToGrid w:val="0"/>
              <w:ind w:leftChars="0" w:left="400" w:hanging="400"/>
              <w:rPr>
                <w:rFonts w:ascii="Times New Roman" w:eastAsia="DengXian" w:hAnsi="Times New Roman"/>
                <w:bCs/>
                <w:szCs w:val="20"/>
                <w:lang w:eastAsia="zh-CN"/>
              </w:rPr>
            </w:pPr>
            <w:r w:rsidRPr="002B690E">
              <w:rPr>
                <w:rFonts w:ascii="Times New Roman" w:eastAsia="DengXian" w:hAnsi="Times New Roman"/>
                <w:bCs/>
                <w:szCs w:val="20"/>
                <w:lang w:eastAsia="zh-CN"/>
              </w:rPr>
              <w:t>QPSK inter-resource co-phasing alphabet is {+1,+j,-1,-j}</w:t>
            </w:r>
          </w:p>
          <w:p w:rsidR="00352FF1" w:rsidRPr="002B690E" w:rsidRDefault="00352FF1" w:rsidP="00352FF1">
            <w:pPr>
              <w:rPr>
                <w:iCs/>
                <w:sz w:val="20"/>
                <w:szCs w:val="20"/>
                <w:lang w:eastAsia="x-none"/>
              </w:rPr>
            </w:pPr>
          </w:p>
          <w:p w:rsidR="00352FF1" w:rsidRPr="002B690E" w:rsidRDefault="00352FF1" w:rsidP="00352FF1">
            <w:pPr>
              <w:rPr>
                <w:b/>
                <w:bCs/>
                <w:sz w:val="20"/>
                <w:szCs w:val="20"/>
                <w:highlight w:val="green"/>
                <w:lang w:eastAsia="x-none"/>
              </w:rPr>
            </w:pPr>
            <w:r w:rsidRPr="002B690E">
              <w:rPr>
                <w:b/>
                <w:bCs/>
                <w:sz w:val="20"/>
                <w:szCs w:val="20"/>
                <w:highlight w:val="green"/>
                <w:lang w:eastAsia="x-none"/>
              </w:rPr>
              <w:lastRenderedPageBreak/>
              <w:t>Agreement</w:t>
            </w:r>
          </w:p>
          <w:p w:rsidR="00352FF1" w:rsidRPr="002B690E" w:rsidRDefault="00352FF1" w:rsidP="00352FF1">
            <w:pPr>
              <w:snapToGrid w:val="0"/>
              <w:rPr>
                <w:sz w:val="20"/>
                <w:szCs w:val="20"/>
              </w:rPr>
            </w:pPr>
            <w:r w:rsidRPr="002B690E">
              <w:rPr>
                <w:sz w:val="20"/>
                <w:szCs w:val="20"/>
              </w:rPr>
              <w:t>For the Rel-19 CRI-based CSI refinement for up to 128 CSI-RS ports, regarding UCI parameters when two-part UCI/CSI is used:</w:t>
            </w:r>
          </w:p>
          <w:p w:rsidR="00352FF1" w:rsidRPr="002B690E" w:rsidRDefault="00352FF1" w:rsidP="00352FF1">
            <w:pPr>
              <w:pStyle w:val="ListParagraph"/>
              <w:numPr>
                <w:ilvl w:val="0"/>
                <w:numId w:val="989"/>
              </w:numPr>
              <w:snapToGrid w:val="0"/>
              <w:ind w:leftChars="0" w:left="400" w:hanging="400"/>
              <w:contextualSpacing/>
              <w:rPr>
                <w:rFonts w:ascii="Times New Roman" w:hAnsi="Times New Roman"/>
                <w:szCs w:val="20"/>
              </w:rPr>
            </w:pPr>
            <w:r w:rsidRPr="002B690E">
              <w:rPr>
                <w:rFonts w:ascii="Times New Roman" w:hAnsi="Times New Roman"/>
                <w:szCs w:val="20"/>
              </w:rPr>
              <w:t xml:space="preserve">Part 1: M CRI(s), M RI(s), M sets of CQI values for 1st CW </w:t>
            </w:r>
          </w:p>
          <w:p w:rsidR="00352FF1" w:rsidRPr="002B690E" w:rsidRDefault="00352FF1" w:rsidP="00352FF1">
            <w:pPr>
              <w:pStyle w:val="ListParagraph"/>
              <w:numPr>
                <w:ilvl w:val="1"/>
                <w:numId w:val="989"/>
              </w:numPr>
              <w:snapToGrid w:val="0"/>
              <w:ind w:leftChars="0" w:left="400" w:hanging="400"/>
              <w:contextualSpacing/>
              <w:rPr>
                <w:rFonts w:ascii="Times New Roman" w:hAnsi="Times New Roman"/>
                <w:szCs w:val="20"/>
              </w:rPr>
            </w:pPr>
            <w:r w:rsidRPr="002B690E">
              <w:rPr>
                <w:rFonts w:ascii="Times New Roman" w:hAnsi="Times New Roman"/>
                <w:szCs w:val="20"/>
              </w:rPr>
              <w:t>When M</w:t>
            </w:r>
            <w:r w:rsidRPr="002B690E">
              <w:rPr>
                <w:rFonts w:ascii="Times New Roman" w:hAnsi="Times New Roman"/>
                <w:szCs w:val="20"/>
                <w:vertAlign w:val="subscript"/>
              </w:rPr>
              <w:t>R</w:t>
            </w:r>
            <w:r w:rsidRPr="002B690E">
              <w:rPr>
                <w:rFonts w:ascii="Times New Roman" w:hAnsi="Times New Roman"/>
                <w:szCs w:val="20"/>
              </w:rPr>
              <w:t xml:space="preserve"> is configured, </w:t>
            </w:r>
            <w:r w:rsidRPr="002B690E">
              <w:rPr>
                <w:rFonts w:ascii="Times New Roman" w:hAnsi="Times New Roman"/>
                <w:iCs/>
                <w:szCs w:val="20"/>
              </w:rPr>
              <w:t>the CRI(s) associated with the M</w:t>
            </w:r>
            <w:r w:rsidRPr="002B690E">
              <w:rPr>
                <w:rFonts w:ascii="Times New Roman" w:hAnsi="Times New Roman"/>
                <w:iCs/>
                <w:szCs w:val="20"/>
                <w:vertAlign w:val="subscript"/>
              </w:rPr>
              <w:t>R</w:t>
            </w:r>
            <w:r w:rsidRPr="002B690E">
              <w:rPr>
                <w:rFonts w:ascii="Times New Roman" w:hAnsi="Times New Roman"/>
                <w:iCs/>
                <w:szCs w:val="20"/>
              </w:rPr>
              <w:t xml:space="preserve"> resource(s) are not reported </w:t>
            </w:r>
          </w:p>
          <w:p w:rsidR="00352FF1" w:rsidRPr="002B690E" w:rsidRDefault="00352FF1" w:rsidP="00352FF1">
            <w:pPr>
              <w:pStyle w:val="ListParagraph"/>
              <w:numPr>
                <w:ilvl w:val="0"/>
                <w:numId w:val="989"/>
              </w:numPr>
              <w:snapToGrid w:val="0"/>
              <w:ind w:leftChars="0" w:left="400" w:hanging="400"/>
              <w:contextualSpacing/>
              <w:rPr>
                <w:rFonts w:ascii="Times New Roman" w:hAnsi="Times New Roman"/>
                <w:szCs w:val="20"/>
              </w:rPr>
            </w:pPr>
            <w:r w:rsidRPr="002B690E">
              <w:rPr>
                <w:rFonts w:ascii="Times New Roman" w:hAnsi="Times New Roman"/>
                <w:szCs w:val="20"/>
              </w:rPr>
              <w:t>Part 2: M sets of {PMI, LI (if applicable), CQI values for 2nd CW (if applicable)}</w:t>
            </w:r>
          </w:p>
          <w:p w:rsidR="00352FF1" w:rsidRPr="002B690E" w:rsidRDefault="00352FF1" w:rsidP="00352FF1">
            <w:pPr>
              <w:rPr>
                <w:iCs/>
                <w:sz w:val="20"/>
                <w:szCs w:val="20"/>
                <w:lang w:eastAsia="x-none"/>
              </w:rPr>
            </w:pPr>
          </w:p>
          <w:p w:rsidR="00352FF1" w:rsidRPr="002B690E" w:rsidRDefault="00352FF1" w:rsidP="00352FF1">
            <w:pPr>
              <w:rPr>
                <w:b/>
                <w:bCs/>
                <w:sz w:val="20"/>
                <w:szCs w:val="20"/>
                <w:highlight w:val="green"/>
                <w:lang w:eastAsia="x-none"/>
              </w:rPr>
            </w:pPr>
            <w:r w:rsidRPr="002B690E">
              <w:rPr>
                <w:b/>
                <w:bCs/>
                <w:sz w:val="20"/>
                <w:szCs w:val="20"/>
                <w:highlight w:val="green"/>
                <w:lang w:eastAsia="x-none"/>
              </w:rPr>
              <w:t>Agreement</w:t>
            </w:r>
          </w:p>
          <w:p w:rsidR="00352FF1" w:rsidRPr="002B690E" w:rsidRDefault="00352FF1" w:rsidP="00352FF1">
            <w:pPr>
              <w:widowControl w:val="0"/>
              <w:snapToGrid w:val="0"/>
              <w:rPr>
                <w:iCs/>
                <w:sz w:val="20"/>
                <w:szCs w:val="20"/>
                <w:vertAlign w:val="subscript"/>
              </w:rPr>
            </w:pPr>
            <w:r w:rsidRPr="002B690E">
              <w:rPr>
                <w:iCs/>
                <w:sz w:val="20"/>
                <w:szCs w:val="20"/>
              </w:rPr>
              <w:t>For the Rel-19 CRI-based CSI refinement for up to 128 CSI-RS ports, if M</w:t>
            </w:r>
            <w:r w:rsidRPr="002B690E">
              <w:rPr>
                <w:iCs/>
                <w:sz w:val="20"/>
                <w:szCs w:val="20"/>
                <w:vertAlign w:val="subscript"/>
              </w:rPr>
              <w:t xml:space="preserve">R </w:t>
            </w:r>
            <w:r w:rsidRPr="002B690E">
              <w:rPr>
                <w:iCs/>
                <w:sz w:val="20"/>
                <w:szCs w:val="20"/>
              </w:rPr>
              <w:t>is configured, the supported value(s) of M</w:t>
            </w:r>
            <w:r w:rsidRPr="002B690E">
              <w:rPr>
                <w:iCs/>
                <w:sz w:val="20"/>
                <w:szCs w:val="20"/>
                <w:vertAlign w:val="subscript"/>
              </w:rPr>
              <w:t xml:space="preserve">R </w:t>
            </w:r>
            <w:r w:rsidRPr="002B690E">
              <w:rPr>
                <w:iCs/>
                <w:sz w:val="20"/>
                <w:szCs w:val="20"/>
              </w:rPr>
              <w:t>are as follows:</w:t>
            </w:r>
          </w:p>
          <w:p w:rsidR="00352FF1" w:rsidRPr="002B690E" w:rsidRDefault="00352FF1" w:rsidP="00352FF1">
            <w:pPr>
              <w:pStyle w:val="ListParagraph"/>
              <w:widowControl w:val="0"/>
              <w:numPr>
                <w:ilvl w:val="0"/>
                <w:numId w:val="990"/>
              </w:numPr>
              <w:snapToGrid w:val="0"/>
              <w:ind w:leftChars="0" w:left="400" w:hanging="400"/>
              <w:rPr>
                <w:rFonts w:ascii="Times New Roman" w:eastAsia="Malgun Gothic" w:hAnsi="Times New Roman"/>
                <w:iCs/>
                <w:szCs w:val="20"/>
              </w:rPr>
            </w:pPr>
            <w:r w:rsidRPr="002B690E">
              <w:rPr>
                <w:rFonts w:ascii="Times New Roman" w:eastAsia="Malgun Gothic" w:hAnsi="Times New Roman"/>
                <w:iCs/>
                <w:szCs w:val="20"/>
              </w:rPr>
              <w:t>Rel-15 Type-I SP: {1, 2}</w:t>
            </w:r>
          </w:p>
          <w:p w:rsidR="00352FF1" w:rsidRPr="002B690E" w:rsidRDefault="00352FF1" w:rsidP="00352FF1">
            <w:pPr>
              <w:pStyle w:val="ListParagraph"/>
              <w:widowControl w:val="0"/>
              <w:numPr>
                <w:ilvl w:val="0"/>
                <w:numId w:val="990"/>
              </w:numPr>
              <w:snapToGrid w:val="0"/>
              <w:ind w:leftChars="0" w:left="400" w:hanging="400"/>
              <w:rPr>
                <w:rFonts w:ascii="Times New Roman" w:eastAsia="Malgun Gothic" w:hAnsi="Times New Roman"/>
                <w:iCs/>
                <w:szCs w:val="20"/>
              </w:rPr>
            </w:pPr>
            <w:r w:rsidRPr="002B690E">
              <w:rPr>
                <w:rFonts w:ascii="Times New Roman" w:eastAsia="Malgun Gothic" w:hAnsi="Times New Roman"/>
                <w:iCs/>
                <w:szCs w:val="20"/>
              </w:rPr>
              <w:t>Rel-16 eType-II: {1}</w:t>
            </w:r>
          </w:p>
          <w:p w:rsidR="00352FF1" w:rsidRPr="002B690E" w:rsidRDefault="00352FF1" w:rsidP="00352FF1">
            <w:pPr>
              <w:rPr>
                <w:iCs/>
                <w:sz w:val="20"/>
                <w:szCs w:val="20"/>
                <w:lang w:eastAsia="x-none"/>
              </w:rPr>
            </w:pPr>
          </w:p>
          <w:p w:rsidR="00352FF1" w:rsidRPr="002B690E" w:rsidRDefault="00352FF1" w:rsidP="00352FF1">
            <w:pPr>
              <w:rPr>
                <w:b/>
                <w:bCs/>
                <w:sz w:val="20"/>
                <w:szCs w:val="20"/>
                <w:highlight w:val="green"/>
                <w:lang w:eastAsia="x-none"/>
              </w:rPr>
            </w:pPr>
            <w:r w:rsidRPr="002B690E">
              <w:rPr>
                <w:b/>
                <w:bCs/>
                <w:sz w:val="20"/>
                <w:szCs w:val="20"/>
                <w:highlight w:val="green"/>
                <w:lang w:eastAsia="x-none"/>
              </w:rPr>
              <w:t>Agreement</w:t>
            </w:r>
          </w:p>
          <w:p w:rsidR="00352FF1" w:rsidRPr="002B690E" w:rsidRDefault="00352FF1" w:rsidP="00352FF1">
            <w:pPr>
              <w:snapToGrid w:val="0"/>
              <w:rPr>
                <w:iCs/>
                <w:sz w:val="20"/>
                <w:szCs w:val="20"/>
              </w:rPr>
            </w:pPr>
            <w:r w:rsidRPr="002B690E">
              <w:rPr>
                <w:iCs/>
                <w:sz w:val="20"/>
                <w:szCs w:val="20"/>
              </w:rPr>
              <w:t>For the Rel-19 CRI-based CSI refinement for up to 128 CSI-RS ports, regarding CBSR and RI restriction, support resource-specific specific CBSR</w:t>
            </w:r>
          </w:p>
          <w:p w:rsidR="00352FF1" w:rsidRPr="002B690E" w:rsidRDefault="00352FF1" w:rsidP="00352FF1">
            <w:pPr>
              <w:pStyle w:val="ListParagraph"/>
              <w:numPr>
                <w:ilvl w:val="0"/>
                <w:numId w:val="980"/>
              </w:numPr>
              <w:snapToGrid w:val="0"/>
              <w:ind w:leftChars="0" w:left="400" w:hanging="400"/>
              <w:contextualSpacing/>
              <w:rPr>
                <w:rFonts w:ascii="Times New Roman" w:hAnsi="Times New Roman"/>
                <w:iCs/>
                <w:szCs w:val="20"/>
              </w:rPr>
            </w:pPr>
            <w:r w:rsidRPr="002B690E">
              <w:rPr>
                <w:rFonts w:ascii="Times New Roman" w:hAnsi="Times New Roman"/>
                <w:iCs/>
                <w:szCs w:val="20"/>
              </w:rPr>
              <w:t>FFS (by RAN1#118): Whether RI restriction is resource-common or resource-specific</w:t>
            </w:r>
          </w:p>
          <w:p w:rsidR="00352FF1" w:rsidRPr="002B690E" w:rsidRDefault="00352FF1" w:rsidP="00352FF1">
            <w:pPr>
              <w:rPr>
                <w:iCs/>
                <w:sz w:val="20"/>
                <w:szCs w:val="20"/>
                <w:lang w:eastAsia="x-none"/>
              </w:rPr>
            </w:pPr>
          </w:p>
          <w:p w:rsidR="00352FF1" w:rsidRPr="002B690E" w:rsidRDefault="00352FF1" w:rsidP="00352FF1">
            <w:pPr>
              <w:rPr>
                <w:b/>
                <w:bCs/>
                <w:sz w:val="20"/>
                <w:szCs w:val="20"/>
                <w:highlight w:val="green"/>
                <w:lang w:eastAsia="x-none"/>
              </w:rPr>
            </w:pPr>
            <w:r w:rsidRPr="002B690E">
              <w:rPr>
                <w:b/>
                <w:bCs/>
                <w:sz w:val="20"/>
                <w:szCs w:val="20"/>
                <w:highlight w:val="green"/>
                <w:lang w:eastAsia="x-none"/>
              </w:rPr>
              <w:t>Agreement</w:t>
            </w:r>
          </w:p>
          <w:p w:rsidR="00352FF1" w:rsidRPr="002B690E" w:rsidRDefault="00352FF1" w:rsidP="00352FF1">
            <w:pPr>
              <w:snapToGrid w:val="0"/>
              <w:jc w:val="both"/>
              <w:rPr>
                <w:sz w:val="20"/>
                <w:szCs w:val="20"/>
                <w:highlight w:val="yellow"/>
              </w:rPr>
            </w:pPr>
            <w:r w:rsidRPr="002B690E">
              <w:rPr>
                <w:sz w:val="20"/>
                <w:szCs w:val="20"/>
              </w:rPr>
              <w:t xml:space="preserve">For the </w:t>
            </w:r>
            <w:r w:rsidRPr="002B690E">
              <w:rPr>
                <w:iCs/>
                <w:sz w:val="20"/>
                <w:szCs w:val="20"/>
              </w:rPr>
              <w:t>Rel-19 Type-I SP codebook refinement for 48, 64, and 128 CSI-RS ports, regarding first SD basis vector selection indicator for Scheme-A for RI=5-8, reuse the legacy Rel-15 Type-I SP scheme, i.e. separate (i</w:t>
            </w:r>
            <w:r w:rsidRPr="002B690E">
              <w:rPr>
                <w:iCs/>
                <w:sz w:val="20"/>
                <w:szCs w:val="20"/>
                <w:vertAlign w:val="subscript"/>
              </w:rPr>
              <w:t>1</w:t>
            </w:r>
            <w:r w:rsidRPr="002B690E">
              <w:rPr>
                <w:iCs/>
                <w:sz w:val="20"/>
                <w:szCs w:val="20"/>
              </w:rPr>
              <w:t>, i</w:t>
            </w:r>
            <w:r w:rsidRPr="002B690E">
              <w:rPr>
                <w:iCs/>
                <w:sz w:val="20"/>
                <w:szCs w:val="20"/>
                <w:vertAlign w:val="subscript"/>
              </w:rPr>
              <w:t>2</w:t>
            </w:r>
            <w:r w:rsidRPr="002B690E">
              <w:rPr>
                <w:iCs/>
                <w:sz w:val="20"/>
                <w:szCs w:val="20"/>
              </w:rPr>
              <w:t xml:space="preserve">) indicators of </w:t>
            </w:r>
            <m:oMath>
              <m:d>
                <m:dPr>
                  <m:begChr m:val="⌈"/>
                  <m:endChr m:val="⌉"/>
                  <m:ctrlPr>
                    <w:rPr>
                      <w:rFonts w:ascii="Cambria Math" w:hAnsi="Cambria Math"/>
                      <w:i/>
                      <w:iCs/>
                      <w:sz w:val="20"/>
                      <w:szCs w:val="20"/>
                    </w:rPr>
                  </m:ctrlPr>
                </m:dPr>
                <m:e>
                  <m:func>
                    <m:funcPr>
                      <m:ctrlPr>
                        <w:rPr>
                          <w:rFonts w:ascii="Cambria Math" w:hAnsi="Cambria Math"/>
                          <w:i/>
                          <w:iCs/>
                          <w:sz w:val="20"/>
                          <w:szCs w:val="20"/>
                        </w:rPr>
                      </m:ctrlPr>
                    </m:funcPr>
                    <m:fName>
                      <m:sSub>
                        <m:sSubPr>
                          <m:ctrlPr>
                            <w:rPr>
                              <w:rFonts w:ascii="Cambria Math" w:hAnsi="Cambria Math"/>
                              <w:i/>
                              <w:iCs/>
                              <w:sz w:val="20"/>
                              <w:szCs w:val="20"/>
                            </w:rPr>
                          </m:ctrlPr>
                        </m:sSubPr>
                        <m:e>
                          <m:r>
                            <m:rPr>
                              <m:sty m:val="p"/>
                            </m:rPr>
                            <w:rPr>
                              <w:rFonts w:ascii="Cambria Math" w:hAnsi="Cambria Math"/>
                              <w:sz w:val="20"/>
                              <w:szCs w:val="20"/>
                            </w:rPr>
                            <m:t>log</m:t>
                          </m:r>
                        </m:e>
                        <m:sub>
                          <m:r>
                            <w:rPr>
                              <w:rFonts w:ascii="Cambria Math" w:hAnsi="Cambria Math"/>
                              <w:sz w:val="20"/>
                              <w:szCs w:val="20"/>
                            </w:rPr>
                            <m:t>2</m:t>
                          </m:r>
                        </m:sub>
                      </m:sSub>
                    </m:fName>
                    <m:e>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1</m:t>
                          </m:r>
                        </m:sub>
                      </m:sSub>
                      <m:sSub>
                        <m:sSubPr>
                          <m:ctrlPr>
                            <w:rPr>
                              <w:rFonts w:ascii="Cambria Math" w:hAnsi="Cambria Math"/>
                              <w:i/>
                              <w:iCs/>
                              <w:sz w:val="20"/>
                              <w:szCs w:val="20"/>
                            </w:rPr>
                          </m:ctrlPr>
                        </m:sSubPr>
                        <m:e>
                          <m:r>
                            <w:rPr>
                              <w:rFonts w:ascii="Cambria Math" w:hAnsi="Cambria Math"/>
                              <w:sz w:val="20"/>
                              <w:szCs w:val="20"/>
                            </w:rPr>
                            <m:t>O</m:t>
                          </m:r>
                        </m:e>
                        <m:sub>
                          <m:r>
                            <w:rPr>
                              <w:rFonts w:ascii="Cambria Math" w:hAnsi="Cambria Math"/>
                              <w:sz w:val="20"/>
                              <w:szCs w:val="20"/>
                            </w:rPr>
                            <m:t>1</m:t>
                          </m:r>
                        </m:sub>
                      </m:sSub>
                    </m:e>
                  </m:func>
                </m:e>
              </m:d>
            </m:oMath>
            <w:r w:rsidRPr="002B690E">
              <w:rPr>
                <w:iCs/>
                <w:sz w:val="20"/>
                <w:szCs w:val="20"/>
              </w:rPr>
              <w:t xml:space="preserve"> bits and </w:t>
            </w:r>
            <m:oMath>
              <m:d>
                <m:dPr>
                  <m:begChr m:val="⌈"/>
                  <m:endChr m:val="⌉"/>
                  <m:ctrlPr>
                    <w:rPr>
                      <w:rFonts w:ascii="Cambria Math" w:hAnsi="Cambria Math"/>
                      <w:i/>
                      <w:iCs/>
                      <w:sz w:val="20"/>
                      <w:szCs w:val="20"/>
                    </w:rPr>
                  </m:ctrlPr>
                </m:dPr>
                <m:e>
                  <m:func>
                    <m:funcPr>
                      <m:ctrlPr>
                        <w:rPr>
                          <w:rFonts w:ascii="Cambria Math" w:hAnsi="Cambria Math"/>
                          <w:i/>
                          <w:iCs/>
                          <w:sz w:val="20"/>
                          <w:szCs w:val="20"/>
                        </w:rPr>
                      </m:ctrlPr>
                    </m:funcPr>
                    <m:fName>
                      <m:sSub>
                        <m:sSubPr>
                          <m:ctrlPr>
                            <w:rPr>
                              <w:rFonts w:ascii="Cambria Math" w:hAnsi="Cambria Math"/>
                              <w:i/>
                              <w:iCs/>
                              <w:sz w:val="20"/>
                              <w:szCs w:val="20"/>
                            </w:rPr>
                          </m:ctrlPr>
                        </m:sSubPr>
                        <m:e>
                          <m:r>
                            <m:rPr>
                              <m:sty m:val="p"/>
                            </m:rPr>
                            <w:rPr>
                              <w:rFonts w:ascii="Cambria Math" w:hAnsi="Cambria Math"/>
                              <w:sz w:val="20"/>
                              <w:szCs w:val="20"/>
                            </w:rPr>
                            <m:t>log</m:t>
                          </m:r>
                        </m:e>
                        <m:sub>
                          <m:r>
                            <w:rPr>
                              <w:rFonts w:ascii="Cambria Math" w:hAnsi="Cambria Math"/>
                              <w:sz w:val="20"/>
                              <w:szCs w:val="20"/>
                            </w:rPr>
                            <m:t>2</m:t>
                          </m:r>
                        </m:sub>
                      </m:sSub>
                    </m:fName>
                    <m:e>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2</m:t>
                          </m:r>
                        </m:sub>
                      </m:sSub>
                      <m:sSub>
                        <m:sSubPr>
                          <m:ctrlPr>
                            <w:rPr>
                              <w:rFonts w:ascii="Cambria Math" w:hAnsi="Cambria Math"/>
                              <w:i/>
                              <w:iCs/>
                              <w:sz w:val="20"/>
                              <w:szCs w:val="20"/>
                            </w:rPr>
                          </m:ctrlPr>
                        </m:sSubPr>
                        <m:e>
                          <m:r>
                            <w:rPr>
                              <w:rFonts w:ascii="Cambria Math" w:hAnsi="Cambria Math"/>
                              <w:sz w:val="20"/>
                              <w:szCs w:val="20"/>
                            </w:rPr>
                            <m:t>O</m:t>
                          </m:r>
                        </m:e>
                        <m:sub>
                          <m:r>
                            <w:rPr>
                              <w:rFonts w:ascii="Cambria Math" w:hAnsi="Cambria Math"/>
                              <w:sz w:val="20"/>
                              <w:szCs w:val="20"/>
                            </w:rPr>
                            <m:t>2</m:t>
                          </m:r>
                        </m:sub>
                      </m:sSub>
                    </m:e>
                  </m:func>
                </m:e>
              </m:d>
            </m:oMath>
            <w:r w:rsidRPr="002B690E">
              <w:rPr>
                <w:iCs/>
                <w:sz w:val="20"/>
                <w:szCs w:val="20"/>
              </w:rPr>
              <w:t xml:space="preserve"> bits, respectively</w:t>
            </w:r>
          </w:p>
          <w:p w:rsidR="00352FF1" w:rsidRPr="002B690E" w:rsidRDefault="00352FF1" w:rsidP="00352FF1">
            <w:pPr>
              <w:rPr>
                <w:iCs/>
                <w:sz w:val="20"/>
                <w:szCs w:val="20"/>
                <w:lang w:eastAsia="x-none"/>
              </w:rPr>
            </w:pPr>
          </w:p>
          <w:p w:rsidR="00352FF1" w:rsidRPr="002B690E" w:rsidRDefault="00352FF1" w:rsidP="00352FF1">
            <w:pPr>
              <w:rPr>
                <w:b/>
                <w:bCs/>
                <w:sz w:val="20"/>
                <w:szCs w:val="20"/>
                <w:highlight w:val="green"/>
                <w:lang w:eastAsia="x-none"/>
              </w:rPr>
            </w:pPr>
            <w:r w:rsidRPr="002B690E">
              <w:rPr>
                <w:b/>
                <w:bCs/>
                <w:sz w:val="20"/>
                <w:szCs w:val="20"/>
                <w:highlight w:val="green"/>
                <w:lang w:eastAsia="x-none"/>
              </w:rPr>
              <w:t>Agreement</w:t>
            </w:r>
          </w:p>
          <w:p w:rsidR="00352FF1" w:rsidRPr="002B690E" w:rsidRDefault="00352FF1" w:rsidP="00352FF1">
            <w:pPr>
              <w:snapToGrid w:val="0"/>
              <w:rPr>
                <w:rFonts w:eastAsia="Malgun Gothic"/>
                <w:sz w:val="20"/>
                <w:szCs w:val="20"/>
                <w:lang w:eastAsia="ko-KR"/>
              </w:rPr>
            </w:pPr>
            <w:r w:rsidRPr="002B690E">
              <w:rPr>
                <w:rFonts w:eastAsia="Malgun Gothic"/>
                <w:sz w:val="20"/>
                <w:szCs w:val="20"/>
                <w:lang w:eastAsia="ko-KR"/>
              </w:rPr>
              <w:t xml:space="preserve">At least for type 1 single panel, for the Rel-19 CRI-based CSI refinement for up to 128 CSI-RS ports, regarding UCI omission for the UCI reported </w:t>
            </w:r>
            <w:r w:rsidRPr="002B690E">
              <w:rPr>
                <w:rFonts w:eastAsia="Malgun Gothic"/>
                <w:i/>
                <w:sz w:val="20"/>
                <w:szCs w:val="20"/>
                <w:lang w:eastAsia="ko-KR"/>
              </w:rPr>
              <w:t>in CSI part-2</w:t>
            </w:r>
            <w:r w:rsidRPr="002B690E">
              <w:rPr>
                <w:rFonts w:eastAsia="Malgun Gothic"/>
                <w:sz w:val="20"/>
                <w:szCs w:val="20"/>
                <w:lang w:eastAsia="ko-KR"/>
              </w:rPr>
              <w:t>, other than priority 0 (G0), the UCI packing order and the 2M consecutive priority levels are defined w.r.t the M CRIs (including the non-reported M</w:t>
            </w:r>
            <w:r w:rsidRPr="002B690E">
              <w:rPr>
                <w:rFonts w:eastAsia="Malgun Gothic"/>
                <w:sz w:val="20"/>
                <w:szCs w:val="20"/>
                <w:vertAlign w:val="subscript"/>
                <w:lang w:eastAsia="ko-KR"/>
              </w:rPr>
              <w:t>R</w:t>
            </w:r>
            <w:r w:rsidRPr="002B690E">
              <w:rPr>
                <w:rFonts w:eastAsia="Malgun Gothic"/>
                <w:sz w:val="20"/>
                <w:szCs w:val="20"/>
                <w:lang w:eastAsia="ko-KR"/>
              </w:rPr>
              <w:t xml:space="preserve"> CRIs) as follows:</w:t>
            </w:r>
          </w:p>
          <w:p w:rsidR="00352FF1" w:rsidRPr="002B690E" w:rsidRDefault="00352FF1" w:rsidP="00352FF1">
            <w:pPr>
              <w:numPr>
                <w:ilvl w:val="0"/>
                <w:numId w:val="1002"/>
              </w:numPr>
              <w:rPr>
                <w:sz w:val="20"/>
                <w:szCs w:val="20"/>
                <w:lang w:eastAsia="ko-KR"/>
              </w:rPr>
            </w:pPr>
            <w:r w:rsidRPr="002B690E">
              <w:rPr>
                <w:sz w:val="20"/>
                <w:szCs w:val="20"/>
                <w:lang w:eastAsia="ko-KR"/>
              </w:rPr>
              <w:t xml:space="preserve">Consecutive priority levels (higher to lower): </w:t>
            </w:r>
          </w:p>
          <w:p w:rsidR="00352FF1" w:rsidRPr="002B690E" w:rsidRDefault="00352FF1" w:rsidP="00352FF1">
            <w:pPr>
              <w:numPr>
                <w:ilvl w:val="1"/>
                <w:numId w:val="1002"/>
              </w:numPr>
              <w:rPr>
                <w:sz w:val="20"/>
                <w:szCs w:val="20"/>
                <w:lang w:eastAsia="ko-KR"/>
              </w:rPr>
            </w:pPr>
            <w:r w:rsidRPr="002B690E">
              <w:rPr>
                <w:rStyle w:val="Strong"/>
                <w:rFonts w:eastAsia="SimSun"/>
                <w:sz w:val="20"/>
                <w:szCs w:val="20"/>
              </w:rPr>
              <w:t>Even sub-bands (G1)</w:t>
            </w:r>
            <w:r w:rsidRPr="002B690E">
              <w:rPr>
                <w:sz w:val="20"/>
                <w:szCs w:val="20"/>
              </w:rPr>
              <w:t> associated with the first configured CMR among the non-reported M</w:t>
            </w:r>
            <w:r w:rsidRPr="002B690E">
              <w:rPr>
                <w:sz w:val="20"/>
                <w:szCs w:val="20"/>
                <w:vertAlign w:val="subscript"/>
              </w:rPr>
              <w:t>R</w:t>
            </w:r>
            <w:r w:rsidRPr="002B690E">
              <w:rPr>
                <w:sz w:val="20"/>
                <w:szCs w:val="20"/>
              </w:rPr>
              <w:t> CRIs, </w:t>
            </w:r>
          </w:p>
          <w:p w:rsidR="00352FF1" w:rsidRPr="002B690E" w:rsidRDefault="00352FF1" w:rsidP="00352FF1">
            <w:pPr>
              <w:numPr>
                <w:ilvl w:val="1"/>
                <w:numId w:val="1002"/>
              </w:numPr>
              <w:rPr>
                <w:sz w:val="20"/>
                <w:szCs w:val="20"/>
                <w:lang w:eastAsia="ko-KR"/>
              </w:rPr>
            </w:pPr>
            <w:r w:rsidRPr="002B690E">
              <w:rPr>
                <w:rStyle w:val="Strong"/>
                <w:rFonts w:eastAsia="SimSun"/>
                <w:sz w:val="20"/>
                <w:szCs w:val="20"/>
              </w:rPr>
              <w:t>Odd sub-bands (G2)</w:t>
            </w:r>
            <w:r w:rsidRPr="002B690E">
              <w:rPr>
                <w:sz w:val="20"/>
                <w:szCs w:val="20"/>
              </w:rPr>
              <w:t> associated with the first configured CMR among the non-reported M</w:t>
            </w:r>
            <w:r w:rsidRPr="002B690E">
              <w:rPr>
                <w:sz w:val="20"/>
                <w:szCs w:val="20"/>
                <w:vertAlign w:val="subscript"/>
              </w:rPr>
              <w:t>R</w:t>
            </w:r>
            <w:r w:rsidRPr="002B690E">
              <w:rPr>
                <w:sz w:val="20"/>
                <w:szCs w:val="20"/>
              </w:rPr>
              <w:t xml:space="preserve"> CRIs, </w:t>
            </w:r>
          </w:p>
          <w:p w:rsidR="00352FF1" w:rsidRPr="002B690E" w:rsidRDefault="00352FF1" w:rsidP="00352FF1">
            <w:pPr>
              <w:numPr>
                <w:ilvl w:val="1"/>
                <w:numId w:val="1002"/>
              </w:numPr>
              <w:rPr>
                <w:sz w:val="20"/>
                <w:szCs w:val="20"/>
                <w:lang w:eastAsia="ko-KR"/>
              </w:rPr>
            </w:pPr>
            <w:r w:rsidRPr="002B690E">
              <w:rPr>
                <w:sz w:val="20"/>
                <w:szCs w:val="20"/>
              </w:rPr>
              <w:t>…,</w:t>
            </w:r>
          </w:p>
          <w:p w:rsidR="00352FF1" w:rsidRPr="002B690E" w:rsidRDefault="00352FF1" w:rsidP="00352FF1">
            <w:pPr>
              <w:numPr>
                <w:ilvl w:val="1"/>
                <w:numId w:val="1002"/>
              </w:numPr>
              <w:rPr>
                <w:sz w:val="20"/>
                <w:szCs w:val="20"/>
                <w:lang w:eastAsia="ko-KR"/>
              </w:rPr>
            </w:pPr>
            <w:r w:rsidRPr="002B690E">
              <w:rPr>
                <w:rStyle w:val="Strong"/>
                <w:rFonts w:eastAsia="SimSun"/>
                <w:sz w:val="20"/>
                <w:szCs w:val="20"/>
              </w:rPr>
              <w:t>Even sub-bands (G1)</w:t>
            </w:r>
            <w:r w:rsidRPr="002B690E">
              <w:rPr>
                <w:sz w:val="20"/>
                <w:szCs w:val="20"/>
              </w:rPr>
              <w:t> associated with the</w:t>
            </w:r>
            <w:r w:rsidRPr="002B690E">
              <w:rPr>
                <w:rStyle w:val="Strong"/>
                <w:rFonts w:eastAsia="SimSun"/>
                <w:sz w:val="20"/>
                <w:szCs w:val="20"/>
              </w:rPr>
              <w:t> </w:t>
            </w:r>
            <w:r w:rsidRPr="002B690E">
              <w:rPr>
                <w:sz w:val="20"/>
                <w:szCs w:val="20"/>
              </w:rPr>
              <w:t>last configured CMR</w:t>
            </w:r>
            <w:r w:rsidRPr="002B690E">
              <w:rPr>
                <w:rStyle w:val="Strong"/>
                <w:rFonts w:eastAsia="SimSun"/>
                <w:sz w:val="20"/>
                <w:szCs w:val="20"/>
              </w:rPr>
              <w:t> </w:t>
            </w:r>
            <w:r w:rsidRPr="002B690E">
              <w:rPr>
                <w:sz w:val="20"/>
                <w:szCs w:val="20"/>
              </w:rPr>
              <w:t>among the non-reported M</w:t>
            </w:r>
            <w:r w:rsidRPr="002B690E">
              <w:rPr>
                <w:sz w:val="20"/>
                <w:szCs w:val="20"/>
                <w:vertAlign w:val="subscript"/>
              </w:rPr>
              <w:t>R</w:t>
            </w:r>
            <w:r w:rsidRPr="002B690E">
              <w:rPr>
                <w:sz w:val="20"/>
                <w:szCs w:val="20"/>
              </w:rPr>
              <w:t> CRIs, </w:t>
            </w:r>
          </w:p>
          <w:p w:rsidR="00352FF1" w:rsidRPr="002B690E" w:rsidRDefault="00352FF1" w:rsidP="00352FF1">
            <w:pPr>
              <w:numPr>
                <w:ilvl w:val="1"/>
                <w:numId w:val="1002"/>
              </w:numPr>
              <w:rPr>
                <w:sz w:val="20"/>
                <w:szCs w:val="20"/>
                <w:lang w:eastAsia="ko-KR"/>
              </w:rPr>
            </w:pPr>
            <w:r w:rsidRPr="002B690E">
              <w:rPr>
                <w:rStyle w:val="Strong"/>
                <w:rFonts w:eastAsia="SimSun"/>
                <w:sz w:val="20"/>
                <w:szCs w:val="20"/>
              </w:rPr>
              <w:t>Odd sub-bands (G2)</w:t>
            </w:r>
            <w:r w:rsidRPr="002B690E">
              <w:rPr>
                <w:sz w:val="20"/>
                <w:szCs w:val="20"/>
              </w:rPr>
              <w:t> associated with the last configured CMR</w:t>
            </w:r>
            <w:r w:rsidRPr="002B690E">
              <w:rPr>
                <w:rStyle w:val="Strong"/>
                <w:rFonts w:eastAsia="SimSun"/>
                <w:sz w:val="20"/>
                <w:szCs w:val="20"/>
              </w:rPr>
              <w:t> </w:t>
            </w:r>
            <w:r w:rsidRPr="002B690E">
              <w:rPr>
                <w:sz w:val="20"/>
                <w:szCs w:val="20"/>
              </w:rPr>
              <w:t>among the non-reported M</w:t>
            </w:r>
            <w:r w:rsidRPr="002B690E">
              <w:rPr>
                <w:sz w:val="20"/>
                <w:szCs w:val="20"/>
                <w:vertAlign w:val="subscript"/>
              </w:rPr>
              <w:t>R</w:t>
            </w:r>
            <w:r w:rsidRPr="002B690E">
              <w:rPr>
                <w:sz w:val="20"/>
                <w:szCs w:val="20"/>
              </w:rPr>
              <w:t xml:space="preserve"> CRIs, </w:t>
            </w:r>
          </w:p>
          <w:p w:rsidR="00352FF1" w:rsidRPr="002B690E" w:rsidRDefault="00352FF1" w:rsidP="00352FF1">
            <w:pPr>
              <w:numPr>
                <w:ilvl w:val="1"/>
                <w:numId w:val="1002"/>
              </w:numPr>
              <w:rPr>
                <w:sz w:val="20"/>
                <w:szCs w:val="20"/>
                <w:lang w:eastAsia="ko-KR"/>
              </w:rPr>
            </w:pPr>
            <w:r w:rsidRPr="002B690E">
              <w:rPr>
                <w:rStyle w:val="Strong"/>
                <w:rFonts w:eastAsia="SimSun"/>
                <w:sz w:val="20"/>
                <w:szCs w:val="20"/>
              </w:rPr>
              <w:t>Even sub-bands (G1)</w:t>
            </w:r>
            <w:r w:rsidRPr="002B690E">
              <w:rPr>
                <w:sz w:val="20"/>
                <w:szCs w:val="20"/>
              </w:rPr>
              <w:t> of the </w:t>
            </w:r>
            <w:r w:rsidRPr="002B690E">
              <w:rPr>
                <w:rStyle w:val="Strong"/>
                <w:rFonts w:eastAsia="SimSun"/>
                <w:sz w:val="20"/>
                <w:szCs w:val="20"/>
              </w:rPr>
              <w:t>1</w:t>
            </w:r>
            <w:r w:rsidRPr="002B690E">
              <w:rPr>
                <w:rStyle w:val="Strong"/>
                <w:rFonts w:eastAsia="SimSun"/>
                <w:sz w:val="20"/>
                <w:szCs w:val="20"/>
                <w:vertAlign w:val="superscript"/>
              </w:rPr>
              <w:t>st</w:t>
            </w:r>
            <w:r w:rsidRPr="002B690E">
              <w:rPr>
                <w:rStyle w:val="Strong"/>
                <w:rFonts w:eastAsia="SimSun"/>
                <w:sz w:val="20"/>
                <w:szCs w:val="20"/>
              </w:rPr>
              <w:t> reported CRI</w:t>
            </w:r>
            <w:r w:rsidRPr="002B690E">
              <w:rPr>
                <w:sz w:val="20"/>
                <w:szCs w:val="20"/>
              </w:rPr>
              <w:t>, </w:t>
            </w:r>
          </w:p>
          <w:p w:rsidR="00352FF1" w:rsidRPr="002B690E" w:rsidRDefault="00352FF1" w:rsidP="00352FF1">
            <w:pPr>
              <w:numPr>
                <w:ilvl w:val="1"/>
                <w:numId w:val="1002"/>
              </w:numPr>
              <w:rPr>
                <w:sz w:val="20"/>
                <w:szCs w:val="20"/>
                <w:lang w:eastAsia="ko-KR"/>
              </w:rPr>
            </w:pPr>
            <w:r w:rsidRPr="002B690E">
              <w:rPr>
                <w:rStyle w:val="Strong"/>
                <w:rFonts w:eastAsia="SimSun"/>
                <w:sz w:val="20"/>
                <w:szCs w:val="20"/>
              </w:rPr>
              <w:t>Odd sub-bands (G2) </w:t>
            </w:r>
            <w:r w:rsidRPr="002B690E">
              <w:rPr>
                <w:sz w:val="20"/>
                <w:szCs w:val="20"/>
              </w:rPr>
              <w:t>of the </w:t>
            </w:r>
            <w:r w:rsidRPr="002B690E">
              <w:rPr>
                <w:rStyle w:val="Strong"/>
                <w:rFonts w:eastAsia="SimSun"/>
                <w:sz w:val="20"/>
                <w:szCs w:val="20"/>
              </w:rPr>
              <w:t>1</w:t>
            </w:r>
            <w:r w:rsidRPr="002B690E">
              <w:rPr>
                <w:rStyle w:val="Strong"/>
                <w:rFonts w:eastAsia="SimSun"/>
                <w:sz w:val="20"/>
                <w:szCs w:val="20"/>
                <w:vertAlign w:val="superscript"/>
              </w:rPr>
              <w:t>st</w:t>
            </w:r>
            <w:r w:rsidRPr="002B690E">
              <w:rPr>
                <w:rStyle w:val="Strong"/>
                <w:rFonts w:eastAsia="SimSun"/>
                <w:sz w:val="20"/>
                <w:szCs w:val="20"/>
              </w:rPr>
              <w:t> reported CRI</w:t>
            </w:r>
            <w:r w:rsidRPr="002B690E">
              <w:rPr>
                <w:sz w:val="20"/>
                <w:szCs w:val="20"/>
              </w:rPr>
              <w:t xml:space="preserve">, </w:t>
            </w:r>
          </w:p>
          <w:p w:rsidR="00352FF1" w:rsidRPr="002B690E" w:rsidRDefault="00352FF1" w:rsidP="00352FF1">
            <w:pPr>
              <w:numPr>
                <w:ilvl w:val="1"/>
                <w:numId w:val="1002"/>
              </w:numPr>
              <w:rPr>
                <w:sz w:val="20"/>
                <w:szCs w:val="20"/>
                <w:lang w:eastAsia="ko-KR"/>
              </w:rPr>
            </w:pPr>
            <w:r w:rsidRPr="002B690E">
              <w:rPr>
                <w:sz w:val="20"/>
                <w:szCs w:val="20"/>
              </w:rPr>
              <w:t>…, </w:t>
            </w:r>
          </w:p>
          <w:p w:rsidR="00352FF1" w:rsidRPr="002B690E" w:rsidRDefault="00352FF1" w:rsidP="00352FF1">
            <w:pPr>
              <w:numPr>
                <w:ilvl w:val="1"/>
                <w:numId w:val="1002"/>
              </w:numPr>
              <w:rPr>
                <w:sz w:val="20"/>
                <w:szCs w:val="20"/>
                <w:lang w:eastAsia="ko-KR"/>
              </w:rPr>
            </w:pPr>
            <w:r w:rsidRPr="002B690E">
              <w:rPr>
                <w:rStyle w:val="Strong"/>
                <w:rFonts w:eastAsia="SimSun"/>
                <w:sz w:val="20"/>
                <w:szCs w:val="20"/>
              </w:rPr>
              <w:t>Even sub-bands (G1)</w:t>
            </w:r>
            <w:r w:rsidRPr="002B690E">
              <w:rPr>
                <w:sz w:val="20"/>
                <w:szCs w:val="20"/>
              </w:rPr>
              <w:t> of the </w:t>
            </w:r>
            <w:r w:rsidRPr="002B690E">
              <w:rPr>
                <w:rStyle w:val="Strong"/>
                <w:rFonts w:eastAsia="SimSun"/>
                <w:sz w:val="20"/>
                <w:szCs w:val="20"/>
              </w:rPr>
              <w:t>(M-M</w:t>
            </w:r>
            <w:r w:rsidRPr="002B690E">
              <w:rPr>
                <w:rStyle w:val="Strong"/>
                <w:rFonts w:eastAsia="SimSun"/>
                <w:sz w:val="20"/>
                <w:szCs w:val="20"/>
                <w:vertAlign w:val="subscript"/>
              </w:rPr>
              <w:t>R</w:t>
            </w:r>
            <w:r w:rsidRPr="002B690E">
              <w:rPr>
                <w:rStyle w:val="Strong"/>
                <w:rFonts w:eastAsia="SimSun"/>
                <w:sz w:val="20"/>
                <w:szCs w:val="20"/>
              </w:rPr>
              <w:t>)</w:t>
            </w:r>
            <w:r w:rsidRPr="002B690E">
              <w:rPr>
                <w:rStyle w:val="Strong"/>
                <w:rFonts w:eastAsia="SimSun"/>
                <w:sz w:val="20"/>
                <w:szCs w:val="20"/>
                <w:vertAlign w:val="superscript"/>
              </w:rPr>
              <w:t>th</w:t>
            </w:r>
            <w:r w:rsidRPr="002B690E">
              <w:rPr>
                <w:rStyle w:val="Strong"/>
                <w:rFonts w:eastAsia="SimSun"/>
                <w:sz w:val="20"/>
                <w:szCs w:val="20"/>
              </w:rPr>
              <w:t> reported CRI</w:t>
            </w:r>
            <w:r w:rsidRPr="002B690E">
              <w:rPr>
                <w:sz w:val="20"/>
                <w:szCs w:val="20"/>
              </w:rPr>
              <w:t>,</w:t>
            </w:r>
          </w:p>
          <w:p w:rsidR="00352FF1" w:rsidRPr="002B690E" w:rsidRDefault="00352FF1" w:rsidP="00352FF1">
            <w:pPr>
              <w:numPr>
                <w:ilvl w:val="1"/>
                <w:numId w:val="1002"/>
              </w:numPr>
              <w:rPr>
                <w:sz w:val="20"/>
                <w:szCs w:val="20"/>
                <w:lang w:eastAsia="ko-KR"/>
              </w:rPr>
            </w:pPr>
            <w:r w:rsidRPr="002B690E">
              <w:rPr>
                <w:sz w:val="20"/>
                <w:szCs w:val="20"/>
              </w:rPr>
              <w:t>O</w:t>
            </w:r>
            <w:r w:rsidRPr="002B690E">
              <w:rPr>
                <w:rStyle w:val="Strong"/>
                <w:rFonts w:eastAsia="SimSun"/>
                <w:sz w:val="20"/>
                <w:szCs w:val="20"/>
              </w:rPr>
              <w:t>dd sub-bands (G2)</w:t>
            </w:r>
            <w:r w:rsidRPr="002B690E">
              <w:rPr>
                <w:sz w:val="20"/>
                <w:szCs w:val="20"/>
              </w:rPr>
              <w:t> of the </w:t>
            </w:r>
            <w:r w:rsidRPr="002B690E">
              <w:rPr>
                <w:rStyle w:val="Strong"/>
                <w:rFonts w:eastAsia="SimSun"/>
                <w:sz w:val="20"/>
                <w:szCs w:val="20"/>
              </w:rPr>
              <w:t>(M-M</w:t>
            </w:r>
            <w:r w:rsidRPr="002B690E">
              <w:rPr>
                <w:rStyle w:val="Strong"/>
                <w:rFonts w:eastAsia="SimSun"/>
                <w:sz w:val="20"/>
                <w:szCs w:val="20"/>
                <w:vertAlign w:val="subscript"/>
              </w:rPr>
              <w:t>R</w:t>
            </w:r>
            <w:r w:rsidRPr="002B690E">
              <w:rPr>
                <w:rStyle w:val="Strong"/>
                <w:rFonts w:eastAsia="SimSun"/>
                <w:sz w:val="20"/>
                <w:szCs w:val="20"/>
              </w:rPr>
              <w:t>)</w:t>
            </w:r>
            <w:r w:rsidRPr="002B690E">
              <w:rPr>
                <w:rStyle w:val="Strong"/>
                <w:rFonts w:eastAsia="SimSun"/>
                <w:sz w:val="20"/>
                <w:szCs w:val="20"/>
                <w:vertAlign w:val="superscript"/>
              </w:rPr>
              <w:t>th</w:t>
            </w:r>
            <w:r w:rsidRPr="002B690E">
              <w:rPr>
                <w:rStyle w:val="Strong"/>
                <w:rFonts w:eastAsia="SimSun"/>
                <w:sz w:val="20"/>
                <w:szCs w:val="20"/>
              </w:rPr>
              <w:t> reported CRI</w:t>
            </w:r>
            <w:r w:rsidRPr="002B690E">
              <w:rPr>
                <w:sz w:val="20"/>
                <w:szCs w:val="20"/>
              </w:rPr>
              <w:t>.</w:t>
            </w:r>
          </w:p>
          <w:p w:rsidR="00352FF1" w:rsidRPr="002B690E" w:rsidRDefault="00352FF1" w:rsidP="00352FF1">
            <w:pPr>
              <w:snapToGrid w:val="0"/>
              <w:rPr>
                <w:b/>
                <w:color w:val="3333FF"/>
                <w:sz w:val="20"/>
                <w:szCs w:val="20"/>
              </w:rPr>
            </w:pPr>
            <w:r w:rsidRPr="002B690E">
              <w:rPr>
                <w:sz w:val="20"/>
                <w:szCs w:val="20"/>
                <w:lang w:eastAsia="ko-KR"/>
              </w:rPr>
              <w:t>Note: For UCI fields in wideband (G0), even sub-bands (G1), and odd sub-bands (G2), legacy design is fully reused.</w:t>
            </w:r>
            <w:r w:rsidRPr="002B690E">
              <w:rPr>
                <w:b/>
                <w:color w:val="3333FF"/>
                <w:sz w:val="20"/>
                <w:szCs w:val="20"/>
              </w:rPr>
              <w:t xml:space="preserve"> </w:t>
            </w:r>
          </w:p>
          <w:p w:rsidR="00352FF1" w:rsidRPr="002B690E" w:rsidRDefault="00352FF1" w:rsidP="00352FF1">
            <w:pPr>
              <w:rPr>
                <w:iCs/>
                <w:sz w:val="20"/>
                <w:szCs w:val="20"/>
                <w:lang w:eastAsia="x-none"/>
              </w:rPr>
            </w:pPr>
          </w:p>
          <w:p w:rsidR="00352FF1" w:rsidRPr="002B690E" w:rsidRDefault="00352FF1" w:rsidP="00352FF1">
            <w:pPr>
              <w:rPr>
                <w:b/>
                <w:bCs/>
                <w:sz w:val="20"/>
                <w:szCs w:val="20"/>
                <w:highlight w:val="green"/>
                <w:lang w:eastAsia="x-none"/>
              </w:rPr>
            </w:pPr>
            <w:r w:rsidRPr="002B690E">
              <w:rPr>
                <w:b/>
                <w:bCs/>
                <w:sz w:val="20"/>
                <w:szCs w:val="20"/>
                <w:highlight w:val="green"/>
                <w:lang w:eastAsia="x-none"/>
              </w:rPr>
              <w:t>Agreement</w:t>
            </w:r>
          </w:p>
          <w:p w:rsidR="00352FF1" w:rsidRPr="002B690E" w:rsidRDefault="00352FF1" w:rsidP="00352FF1">
            <w:pPr>
              <w:snapToGrid w:val="0"/>
              <w:rPr>
                <w:iCs/>
                <w:sz w:val="20"/>
                <w:szCs w:val="20"/>
              </w:rPr>
            </w:pPr>
            <w:r w:rsidRPr="002B690E">
              <w:rPr>
                <w:sz w:val="20"/>
                <w:szCs w:val="20"/>
              </w:rPr>
              <w:t xml:space="preserve">For the </w:t>
            </w:r>
            <w:r w:rsidRPr="002B690E">
              <w:rPr>
                <w:iCs/>
                <w:sz w:val="20"/>
                <w:szCs w:val="20"/>
              </w:rPr>
              <w:t>Rel-19 Type-I SP codebook refinement for 48, 64, and 128 CSI-RS ports, the UCI parameters are captured in the tables below for Scheme-B for RI=5-8:</w:t>
            </w:r>
          </w:p>
          <w:p w:rsidR="00352FF1" w:rsidRPr="002B690E" w:rsidRDefault="00352FF1" w:rsidP="00352FF1">
            <w:pPr>
              <w:numPr>
                <w:ilvl w:val="0"/>
                <w:numId w:val="722"/>
              </w:numPr>
              <w:snapToGrid w:val="0"/>
              <w:contextualSpacing/>
              <w:rPr>
                <w:sz w:val="20"/>
                <w:szCs w:val="20"/>
                <w:lang w:eastAsia="x-none"/>
              </w:rPr>
            </w:pPr>
            <w:r w:rsidRPr="002B690E">
              <w:rPr>
                <w:sz w:val="20"/>
                <w:szCs w:val="20"/>
                <w:lang w:eastAsia="x-none"/>
              </w:rPr>
              <w:t>Note: The second column includes the location of the parameters when reported with two-part UCI</w:t>
            </w:r>
          </w:p>
          <w:p w:rsidR="00352FF1" w:rsidRPr="002B690E" w:rsidRDefault="00352FF1" w:rsidP="00352FF1">
            <w:pPr>
              <w:snapToGrid w:val="0"/>
              <w:jc w:val="both"/>
              <w:rPr>
                <w:b/>
                <w:sz w:val="20"/>
                <w:szCs w:val="20"/>
                <w:u w:val="single"/>
              </w:rPr>
            </w:pPr>
          </w:p>
          <w:p w:rsidR="00352FF1" w:rsidRPr="002B690E" w:rsidRDefault="00352FF1" w:rsidP="00352FF1">
            <w:pPr>
              <w:snapToGrid w:val="0"/>
              <w:rPr>
                <w:b/>
                <w:sz w:val="20"/>
                <w:szCs w:val="20"/>
              </w:rPr>
            </w:pPr>
            <w:r w:rsidRPr="002B690E">
              <w:rPr>
                <w:b/>
                <w:sz w:val="20"/>
                <w:szCs w:val="20"/>
              </w:rPr>
              <w:t>Scheme-B</w:t>
            </w:r>
          </w:p>
          <w:tbl>
            <w:tblPr>
              <w:tblW w:w="6726" w:type="dxa"/>
              <w:tblCellMar>
                <w:left w:w="0" w:type="dxa"/>
                <w:right w:w="0" w:type="dxa"/>
              </w:tblCellMar>
              <w:tblLook w:val="04A0" w:firstRow="1" w:lastRow="0" w:firstColumn="1" w:lastColumn="0" w:noHBand="0" w:noVBand="1"/>
            </w:tblPr>
            <w:tblGrid>
              <w:gridCol w:w="1637"/>
              <w:gridCol w:w="1051"/>
              <w:gridCol w:w="4038"/>
            </w:tblGrid>
            <w:tr w:rsidR="00352FF1" w:rsidRPr="002B690E" w:rsidTr="006B4EF6">
              <w:trPr>
                <w:trHeight w:val="207"/>
              </w:trPr>
              <w:tc>
                <w:tcPr>
                  <w:tcW w:w="1637"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352FF1" w:rsidRPr="002B690E" w:rsidRDefault="00352FF1" w:rsidP="00352FF1">
                  <w:pPr>
                    <w:snapToGrid w:val="0"/>
                    <w:rPr>
                      <w:sz w:val="20"/>
                      <w:szCs w:val="20"/>
                    </w:rPr>
                  </w:pPr>
                  <w:r w:rsidRPr="002B690E">
                    <w:rPr>
                      <w:sz w:val="20"/>
                      <w:szCs w:val="20"/>
                    </w:rPr>
                    <w:t>Parameter</w:t>
                  </w:r>
                </w:p>
              </w:tc>
              <w:tc>
                <w:tcPr>
                  <w:tcW w:w="105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rsidR="00352FF1" w:rsidRPr="002B690E" w:rsidRDefault="00352FF1" w:rsidP="00352FF1">
                  <w:pPr>
                    <w:snapToGrid w:val="0"/>
                    <w:rPr>
                      <w:sz w:val="20"/>
                      <w:szCs w:val="20"/>
                    </w:rPr>
                  </w:pPr>
                  <w:r w:rsidRPr="002B690E">
                    <w:rPr>
                      <w:sz w:val="20"/>
                      <w:szCs w:val="20"/>
                    </w:rPr>
                    <w:t>UCI</w:t>
                  </w:r>
                </w:p>
              </w:tc>
              <w:tc>
                <w:tcPr>
                  <w:tcW w:w="403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rsidR="00352FF1" w:rsidRPr="002B690E" w:rsidRDefault="00352FF1" w:rsidP="00352FF1">
                  <w:pPr>
                    <w:snapToGrid w:val="0"/>
                    <w:rPr>
                      <w:sz w:val="20"/>
                      <w:szCs w:val="20"/>
                    </w:rPr>
                  </w:pPr>
                  <w:r w:rsidRPr="002B690E">
                    <w:rPr>
                      <w:sz w:val="20"/>
                      <w:szCs w:val="20"/>
                    </w:rPr>
                    <w:t>Details/description</w:t>
                  </w:r>
                </w:p>
              </w:tc>
            </w:tr>
            <w:tr w:rsidR="00352FF1" w:rsidRPr="002B690E" w:rsidTr="006B4EF6">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352FF1" w:rsidRPr="002B690E" w:rsidRDefault="00352FF1" w:rsidP="00352FF1">
                  <w:pPr>
                    <w:snapToGrid w:val="0"/>
                    <w:rPr>
                      <w:color w:val="000000"/>
                      <w:sz w:val="20"/>
                      <w:szCs w:val="20"/>
                    </w:rPr>
                  </w:pPr>
                  <w:r w:rsidRPr="002B690E">
                    <w:rPr>
                      <w:color w:val="000000"/>
                      <w:sz w:val="20"/>
                      <w:szCs w:val="20"/>
                    </w:rPr>
                    <w:t>SD basis oversampling (rotation) factor q</w:t>
                  </w:r>
                  <w:r w:rsidRPr="002B690E">
                    <w:rPr>
                      <w:color w:val="000000"/>
                      <w:sz w:val="20"/>
                      <w:szCs w:val="20"/>
                      <w:vertAlign w:val="subscript"/>
                    </w:rPr>
                    <w:t>1</w:t>
                  </w:r>
                  <w:r w:rsidRPr="002B690E">
                    <w:rPr>
                      <w:color w:val="000000"/>
                      <w:sz w:val="20"/>
                      <w:szCs w:val="20"/>
                    </w:rPr>
                    <w:t>, q</w:t>
                  </w:r>
                  <w:r w:rsidRPr="002B690E">
                    <w:rPr>
                      <w:color w:val="000000"/>
                      <w:sz w:val="20"/>
                      <w:szCs w:val="20"/>
                      <w:vertAlign w:val="subscript"/>
                    </w:rPr>
                    <w:t>2</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rsidR="00352FF1" w:rsidRPr="002B690E" w:rsidRDefault="00352FF1" w:rsidP="00352FF1">
                  <w:pPr>
                    <w:snapToGrid w:val="0"/>
                    <w:rPr>
                      <w:color w:val="000000"/>
                      <w:sz w:val="20"/>
                      <w:szCs w:val="20"/>
                    </w:rPr>
                  </w:pPr>
                  <w:r w:rsidRPr="002B690E">
                    <w:rPr>
                      <w:color w:val="000000"/>
                      <w:sz w:val="20"/>
                      <w:szCs w:val="20"/>
                    </w:rPr>
                    <w:t>Part 2</w:t>
                  </w:r>
                </w:p>
                <w:p w:rsidR="00352FF1" w:rsidRPr="002B690E" w:rsidRDefault="00352FF1" w:rsidP="00352FF1">
                  <w:pPr>
                    <w:snapToGrid w:val="0"/>
                    <w:rPr>
                      <w:color w:val="000000"/>
                      <w:sz w:val="20"/>
                      <w:szCs w:val="20"/>
                    </w:rPr>
                  </w:pPr>
                  <w:r w:rsidRPr="002B690E">
                    <w:rPr>
                      <w:color w:val="000000"/>
                      <w:sz w:val="20"/>
                      <w:szCs w:val="20"/>
                    </w:rPr>
                    <w:br/>
                    <w:t>Wideband</w:t>
                  </w:r>
                </w:p>
              </w:tc>
              <w:tc>
                <w:tcPr>
                  <w:tcW w:w="4038" w:type="dxa"/>
                  <w:tcBorders>
                    <w:top w:val="nil"/>
                    <w:left w:val="nil"/>
                    <w:bottom w:val="single" w:sz="8" w:space="0" w:color="000000"/>
                    <w:right w:val="single" w:sz="8" w:space="0" w:color="000000"/>
                  </w:tcBorders>
                  <w:tcMar>
                    <w:top w:w="0" w:type="dxa"/>
                    <w:left w:w="108" w:type="dxa"/>
                    <w:bottom w:w="0" w:type="dxa"/>
                    <w:right w:w="108" w:type="dxa"/>
                  </w:tcMar>
                </w:tcPr>
                <w:p w:rsidR="00352FF1" w:rsidRPr="002B690E" w:rsidRDefault="00352FF1" w:rsidP="00352FF1">
                  <w:pPr>
                    <w:snapToGrid w:val="0"/>
                    <w:rPr>
                      <w:color w:val="000000"/>
                      <w:sz w:val="20"/>
                      <w:szCs w:val="20"/>
                    </w:rPr>
                  </w:pPr>
                  <w:r w:rsidRPr="002B690E">
                    <w:rPr>
                      <w:i/>
                      <w:sz w:val="20"/>
                      <w:szCs w:val="20"/>
                    </w:rPr>
                    <w:t>v</w:t>
                  </w:r>
                  <w:r w:rsidRPr="002B690E">
                    <w:rPr>
                      <w:sz w:val="20"/>
                      <w:szCs w:val="20"/>
                    </w:rPr>
                    <w:t xml:space="preserve">=5-8: </w:t>
                  </w:r>
                  <w:r w:rsidRPr="002B690E">
                    <w:rPr>
                      <w:color w:val="000000"/>
                      <w:sz w:val="20"/>
                      <w:szCs w:val="20"/>
                    </w:rPr>
                    <w:t>Values of q</w:t>
                  </w:r>
                  <w:r w:rsidRPr="002B690E">
                    <w:rPr>
                      <w:color w:val="000000"/>
                      <w:sz w:val="20"/>
                      <w:szCs w:val="20"/>
                      <w:vertAlign w:val="subscript"/>
                    </w:rPr>
                    <w:t>1</w:t>
                  </w:r>
                  <w:r w:rsidRPr="002B690E">
                    <w:rPr>
                      <w:color w:val="000000"/>
                      <w:sz w:val="20"/>
                      <w:szCs w:val="20"/>
                    </w:rPr>
                    <w:t>, q</w:t>
                  </w:r>
                  <w:r w:rsidRPr="002B690E">
                    <w:rPr>
                      <w:color w:val="000000"/>
                      <w:sz w:val="20"/>
                      <w:szCs w:val="20"/>
                      <w:vertAlign w:val="subscript"/>
                    </w:rPr>
                    <w:t>2</w:t>
                  </w:r>
                  <w:r w:rsidRPr="002B690E">
                    <w:rPr>
                      <w:color w:val="000000"/>
                      <w:sz w:val="20"/>
                      <w:szCs w:val="20"/>
                    </w:rPr>
                    <w:t xml:space="preserve"> follow Rel-16 eType-II, </w:t>
                  </w:r>
                  <m:oMath>
                    <m:d>
                      <m:dPr>
                        <m:begChr m:val="⌈"/>
                        <m:endChr m:val="⌉"/>
                        <m:ctrlPr>
                          <w:rPr>
                            <w:rFonts w:ascii="Cambria Math" w:eastAsia="SimSun" w:hAnsi="Cambria Math"/>
                            <w:i/>
                            <w:color w:val="000000"/>
                            <w:sz w:val="20"/>
                            <w:szCs w:val="20"/>
                          </w:rPr>
                        </m:ctrlPr>
                      </m:dPr>
                      <m:e>
                        <m:func>
                          <m:funcPr>
                            <m:ctrlPr>
                              <w:rPr>
                                <w:rFonts w:ascii="Cambria Math" w:eastAsia="SimSun" w:hAnsi="Cambria Math"/>
                                <w:i/>
                                <w:color w:val="000000"/>
                                <w:sz w:val="20"/>
                                <w:szCs w:val="20"/>
                              </w:rPr>
                            </m:ctrlPr>
                          </m:funcPr>
                          <m:fName>
                            <m:sSub>
                              <m:sSubPr>
                                <m:ctrlPr>
                                  <w:rPr>
                                    <w:rFonts w:ascii="Cambria Math" w:eastAsia="SimSun" w:hAnsi="Cambria Math"/>
                                    <w:i/>
                                    <w:color w:val="000000"/>
                                    <w:sz w:val="20"/>
                                    <w:szCs w:val="20"/>
                                  </w:rPr>
                                </m:ctrlPr>
                              </m:sSubPr>
                              <m:e>
                                <m:r>
                                  <m:rPr>
                                    <m:sty m:val="p"/>
                                  </m:rPr>
                                  <w:rPr>
                                    <w:rFonts w:ascii="Cambria Math" w:eastAsia="SimSun" w:hAnsi="Cambria Math"/>
                                    <w:color w:val="000000"/>
                                    <w:sz w:val="20"/>
                                    <w:szCs w:val="20"/>
                                  </w:rPr>
                                  <m:t>log</m:t>
                                </m:r>
                              </m:e>
                              <m:sub>
                                <m:r>
                                  <w:rPr>
                                    <w:rFonts w:ascii="Cambria Math" w:eastAsia="SimSun" w:hAnsi="Cambria Math"/>
                                    <w:color w:val="000000"/>
                                    <w:sz w:val="20"/>
                                    <w:szCs w:val="20"/>
                                  </w:rPr>
                                  <m:t>2</m:t>
                                </m:r>
                              </m:sub>
                            </m:sSub>
                          </m:fName>
                          <m:e>
                            <m:d>
                              <m:dPr>
                                <m:ctrlPr>
                                  <w:rPr>
                                    <w:rFonts w:ascii="Cambria Math" w:eastAsia="SimSun" w:hAnsi="Cambria Math"/>
                                    <w:i/>
                                    <w:color w:val="000000"/>
                                    <w:sz w:val="20"/>
                                    <w:szCs w:val="20"/>
                                  </w:rPr>
                                </m:ctrlPr>
                              </m:dPr>
                              <m:e>
                                <m:sSub>
                                  <m:sSubPr>
                                    <m:ctrlPr>
                                      <w:rPr>
                                        <w:rFonts w:ascii="Cambria Math" w:eastAsia="SimSun" w:hAnsi="Cambria Math"/>
                                        <w:i/>
                                        <w:color w:val="000000"/>
                                        <w:sz w:val="20"/>
                                        <w:szCs w:val="20"/>
                                      </w:rPr>
                                    </m:ctrlPr>
                                  </m:sSubPr>
                                  <m:e>
                                    <m:r>
                                      <w:rPr>
                                        <w:rFonts w:ascii="Cambria Math" w:eastAsia="SimSun" w:hAnsi="Cambria Math"/>
                                        <w:color w:val="000000"/>
                                        <w:sz w:val="20"/>
                                        <w:szCs w:val="20"/>
                                      </w:rPr>
                                      <m:t>O</m:t>
                                    </m:r>
                                  </m:e>
                                  <m:sub>
                                    <m:r>
                                      <w:rPr>
                                        <w:rFonts w:ascii="Cambria Math" w:eastAsia="SimSun" w:hAnsi="Cambria Math"/>
                                        <w:color w:val="000000"/>
                                        <w:sz w:val="20"/>
                                        <w:szCs w:val="20"/>
                                      </w:rPr>
                                      <m:t>1</m:t>
                                    </m:r>
                                  </m:sub>
                                </m:sSub>
                                <m:sSub>
                                  <m:sSubPr>
                                    <m:ctrlPr>
                                      <w:rPr>
                                        <w:rFonts w:ascii="Cambria Math" w:eastAsia="SimSun" w:hAnsi="Cambria Math"/>
                                        <w:i/>
                                        <w:color w:val="000000"/>
                                        <w:sz w:val="20"/>
                                        <w:szCs w:val="20"/>
                                      </w:rPr>
                                    </m:ctrlPr>
                                  </m:sSubPr>
                                  <m:e>
                                    <m:r>
                                      <w:rPr>
                                        <w:rFonts w:ascii="Cambria Math" w:eastAsia="SimSun" w:hAnsi="Cambria Math"/>
                                        <w:color w:val="000000"/>
                                        <w:sz w:val="20"/>
                                        <w:szCs w:val="20"/>
                                      </w:rPr>
                                      <m:t>O</m:t>
                                    </m:r>
                                  </m:e>
                                  <m:sub>
                                    <m:r>
                                      <w:rPr>
                                        <w:rFonts w:ascii="Cambria Math" w:eastAsia="SimSun" w:hAnsi="Cambria Math"/>
                                        <w:color w:val="000000"/>
                                        <w:sz w:val="20"/>
                                        <w:szCs w:val="20"/>
                                      </w:rPr>
                                      <m:t>2</m:t>
                                    </m:r>
                                  </m:sub>
                                </m:sSub>
                              </m:e>
                            </m:d>
                          </m:e>
                        </m:func>
                      </m:e>
                    </m:d>
                  </m:oMath>
                  <w:r w:rsidRPr="002B690E">
                    <w:rPr>
                      <w:color w:val="000000"/>
                      <w:sz w:val="20"/>
                      <w:szCs w:val="20"/>
                    </w:rPr>
                    <w:t xml:space="preserve"> bit indicator</w:t>
                  </w:r>
                </w:p>
              </w:tc>
            </w:tr>
            <w:tr w:rsidR="00352FF1" w:rsidRPr="002B690E" w:rsidTr="006B4EF6">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352FF1" w:rsidRPr="002B690E" w:rsidRDefault="00352FF1" w:rsidP="00352FF1">
                  <w:pPr>
                    <w:snapToGrid w:val="0"/>
                    <w:rPr>
                      <w:color w:val="000000"/>
                      <w:sz w:val="20"/>
                      <w:szCs w:val="20"/>
                    </w:rPr>
                  </w:pPr>
                  <w:r w:rsidRPr="002B690E">
                    <w:rPr>
                      <w:color w:val="000000"/>
                      <w:sz w:val="20"/>
                      <w:szCs w:val="20"/>
                    </w:rPr>
                    <w:t>SD basis vector selection indicator for each layer</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rsidR="00352FF1" w:rsidRPr="002B690E" w:rsidRDefault="00352FF1" w:rsidP="00352FF1">
                  <w:pPr>
                    <w:snapToGrid w:val="0"/>
                    <w:rPr>
                      <w:sz w:val="20"/>
                      <w:szCs w:val="20"/>
                    </w:rPr>
                  </w:pPr>
                  <w:r w:rsidRPr="002B690E">
                    <w:rPr>
                      <w:sz w:val="20"/>
                      <w:szCs w:val="20"/>
                    </w:rPr>
                    <w:t>Part 2</w:t>
                  </w:r>
                </w:p>
                <w:p w:rsidR="00352FF1" w:rsidRPr="002B690E" w:rsidRDefault="00352FF1" w:rsidP="00352FF1">
                  <w:pPr>
                    <w:snapToGrid w:val="0"/>
                    <w:rPr>
                      <w:color w:val="000000"/>
                      <w:sz w:val="20"/>
                      <w:szCs w:val="20"/>
                    </w:rPr>
                  </w:pPr>
                </w:p>
                <w:p w:rsidR="00352FF1" w:rsidRPr="002B690E" w:rsidRDefault="00352FF1" w:rsidP="00352FF1">
                  <w:pPr>
                    <w:snapToGrid w:val="0"/>
                    <w:rPr>
                      <w:color w:val="000000"/>
                      <w:sz w:val="20"/>
                      <w:szCs w:val="20"/>
                    </w:rPr>
                  </w:pPr>
                  <w:r w:rsidRPr="002B690E">
                    <w:rPr>
                      <w:color w:val="000000"/>
                      <w:sz w:val="20"/>
                      <w:szCs w:val="20"/>
                    </w:rPr>
                    <w:t>Wideband</w:t>
                  </w:r>
                </w:p>
              </w:tc>
              <w:tc>
                <w:tcPr>
                  <w:tcW w:w="4038" w:type="dxa"/>
                  <w:tcBorders>
                    <w:top w:val="nil"/>
                    <w:left w:val="nil"/>
                    <w:bottom w:val="single" w:sz="8" w:space="0" w:color="000000"/>
                    <w:right w:val="single" w:sz="8" w:space="0" w:color="000000"/>
                  </w:tcBorders>
                  <w:tcMar>
                    <w:top w:w="0" w:type="dxa"/>
                    <w:left w:w="108" w:type="dxa"/>
                    <w:bottom w:w="0" w:type="dxa"/>
                    <w:right w:w="108" w:type="dxa"/>
                  </w:tcMar>
                </w:tcPr>
                <w:p w:rsidR="00352FF1" w:rsidRPr="002B690E" w:rsidRDefault="00352FF1" w:rsidP="00352FF1">
                  <w:pPr>
                    <w:snapToGrid w:val="0"/>
                    <w:rPr>
                      <w:sz w:val="20"/>
                      <w:szCs w:val="20"/>
                    </w:rPr>
                  </w:pPr>
                  <w:r w:rsidRPr="002B690E">
                    <w:rPr>
                      <w:i/>
                      <w:sz w:val="20"/>
                      <w:szCs w:val="20"/>
                    </w:rPr>
                    <w:t>v</w:t>
                  </w:r>
                  <w:r w:rsidRPr="002B690E">
                    <w:rPr>
                      <w:sz w:val="20"/>
                      <w:szCs w:val="20"/>
                    </w:rPr>
                    <w:t xml:space="preserve">=5-8: </w:t>
                  </w:r>
                  <m:oMath>
                    <m:d>
                      <m:dPr>
                        <m:begChr m:val="⌈"/>
                        <m:endChr m:val="⌉"/>
                        <m:ctrlPr>
                          <w:rPr>
                            <w:rFonts w:ascii="Cambria Math" w:hAnsi="Cambria Math"/>
                            <w:i/>
                            <w:sz w:val="20"/>
                            <w:szCs w:val="20"/>
                          </w:rPr>
                        </m:ctrlPr>
                      </m:dPr>
                      <m:e>
                        <m:func>
                          <m:funcPr>
                            <m:ctrlPr>
                              <w:rPr>
                                <w:rFonts w:ascii="Cambria Math" w:hAnsi="Cambria Math"/>
                                <w:i/>
                                <w:sz w:val="20"/>
                                <w:szCs w:val="20"/>
                              </w:rPr>
                            </m:ctrlPr>
                          </m:funcPr>
                          <m:fName>
                            <m:sSub>
                              <m:sSubPr>
                                <m:ctrlPr>
                                  <w:rPr>
                                    <w:rFonts w:ascii="Cambria Math" w:hAnsi="Cambria Math"/>
                                    <w:i/>
                                    <w:sz w:val="20"/>
                                    <w:szCs w:val="20"/>
                                  </w:rPr>
                                </m:ctrlPr>
                              </m:sSubPr>
                              <m:e>
                                <m:r>
                                  <m:rPr>
                                    <m:sty m:val="p"/>
                                  </m:rPr>
                                  <w:rPr>
                                    <w:rFonts w:ascii="Cambria Math" w:hAnsi="Cambria Math"/>
                                    <w:sz w:val="20"/>
                                    <w:szCs w:val="20"/>
                                  </w:rPr>
                                  <m:t>log</m:t>
                                </m:r>
                              </m:e>
                              <m:sub>
                                <m:r>
                                  <w:rPr>
                                    <w:rFonts w:ascii="Cambria Math" w:hAnsi="Cambria Math"/>
                                    <w:sz w:val="20"/>
                                    <w:szCs w:val="20"/>
                                  </w:rPr>
                                  <m:t>2</m:t>
                                </m:r>
                              </m:sub>
                            </m:sSub>
                          </m:fName>
                          <m:e>
                            <m:d>
                              <m:dPr>
                                <m:ctrlPr>
                                  <w:rPr>
                                    <w:rFonts w:ascii="Cambria Math" w:hAnsi="Cambria Math"/>
                                    <w:i/>
                                    <w:sz w:val="20"/>
                                    <w:szCs w:val="20"/>
                                  </w:rPr>
                                </m:ctrlPr>
                              </m:dPr>
                              <m:e>
                                <m:m>
                                  <m:mPr>
                                    <m:mcs>
                                      <m:mc>
                                        <m:mcPr>
                                          <m:count m:val="1"/>
                                          <m:mcJc m:val="center"/>
                                        </m:mcPr>
                                      </m:mc>
                                    </m:mcs>
                                    <m:ctrlPr>
                                      <w:rPr>
                                        <w:rFonts w:ascii="Cambria Math" w:hAnsi="Cambria Math"/>
                                        <w:i/>
                                        <w:sz w:val="20"/>
                                        <w:szCs w:val="20"/>
                                      </w:rPr>
                                    </m:ctrlPr>
                                  </m:mPr>
                                  <m:mr>
                                    <m:e>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1</m:t>
                                          </m:r>
                                        </m:sub>
                                      </m:sSub>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e>
                                  </m:mr>
                                  <m:mr>
                                    <m:e>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G</m:t>
                                          </m:r>
                                        </m:sub>
                                      </m:sSub>
                                    </m:e>
                                  </m:mr>
                                </m:m>
                              </m:e>
                            </m:d>
                          </m:e>
                        </m:func>
                      </m:e>
                    </m:d>
                  </m:oMath>
                  <w:r w:rsidRPr="002B690E">
                    <w:rPr>
                      <w:sz w:val="20"/>
                      <w:szCs w:val="20"/>
                      <w:lang w:eastAsia="x-none"/>
                    </w:rPr>
                    <w:t xml:space="preserve"> bit indicator, where </w:t>
                  </w:r>
                  <w:r w:rsidRPr="002B690E">
                    <w:rPr>
                      <w:i/>
                      <w:sz w:val="20"/>
                      <w:szCs w:val="20"/>
                      <w:lang w:eastAsia="x-none"/>
                    </w:rPr>
                    <w:t>L</w:t>
                  </w:r>
                  <w:r w:rsidRPr="002B690E">
                    <w:rPr>
                      <w:i/>
                      <w:sz w:val="20"/>
                      <w:szCs w:val="20"/>
                      <w:vertAlign w:val="subscript"/>
                      <w:lang w:eastAsia="x-none"/>
                    </w:rPr>
                    <w:t>G</w:t>
                  </w:r>
                  <w:r w:rsidRPr="002B690E">
                    <w:rPr>
                      <w:sz w:val="20"/>
                      <w:szCs w:val="20"/>
                      <w:lang w:eastAsia="x-none"/>
                    </w:rPr>
                    <w:t xml:space="preserve">=3 for </w:t>
                  </w:r>
                  <w:r w:rsidRPr="002B690E">
                    <w:rPr>
                      <w:i/>
                      <w:sz w:val="20"/>
                      <w:szCs w:val="20"/>
                    </w:rPr>
                    <w:t>v</w:t>
                  </w:r>
                  <w:r w:rsidRPr="002B690E">
                    <w:rPr>
                      <w:sz w:val="20"/>
                      <w:szCs w:val="20"/>
                    </w:rPr>
                    <w:t xml:space="preserve">=5-6, and 4 for </w:t>
                  </w:r>
                  <w:r w:rsidRPr="002B690E">
                    <w:rPr>
                      <w:i/>
                      <w:sz w:val="20"/>
                      <w:szCs w:val="20"/>
                    </w:rPr>
                    <w:t>v</w:t>
                  </w:r>
                  <w:r w:rsidRPr="002B690E">
                    <w:rPr>
                      <w:sz w:val="20"/>
                      <w:szCs w:val="20"/>
                    </w:rPr>
                    <w:t>=7-8</w:t>
                  </w:r>
                </w:p>
                <w:p w:rsidR="00352FF1" w:rsidRPr="002B690E" w:rsidRDefault="00352FF1" w:rsidP="00352FF1">
                  <w:pPr>
                    <w:snapToGrid w:val="0"/>
                    <w:rPr>
                      <w:color w:val="000000"/>
                      <w:sz w:val="20"/>
                      <w:szCs w:val="20"/>
                    </w:rPr>
                  </w:pPr>
                </w:p>
              </w:tc>
            </w:tr>
            <w:tr w:rsidR="00352FF1" w:rsidRPr="002B690E" w:rsidTr="006B4EF6">
              <w:trPr>
                <w:trHeight w:val="56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352FF1" w:rsidRPr="002B690E" w:rsidRDefault="00352FF1" w:rsidP="00352FF1">
                  <w:pPr>
                    <w:snapToGrid w:val="0"/>
                    <w:rPr>
                      <w:color w:val="000000"/>
                      <w:sz w:val="20"/>
                      <w:szCs w:val="20"/>
                    </w:rPr>
                  </w:pPr>
                  <w:r w:rsidRPr="002B690E">
                    <w:rPr>
                      <w:color w:val="000000"/>
                      <w:sz w:val="20"/>
                      <w:szCs w:val="20"/>
                    </w:rPr>
                    <w:lastRenderedPageBreak/>
                    <w:t>Inter-pol co-phase selection indicator for each layer</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rsidR="00352FF1" w:rsidRPr="002B690E" w:rsidRDefault="00352FF1" w:rsidP="00352FF1">
                  <w:pPr>
                    <w:snapToGrid w:val="0"/>
                    <w:rPr>
                      <w:color w:val="000000"/>
                      <w:sz w:val="20"/>
                      <w:szCs w:val="20"/>
                    </w:rPr>
                  </w:pPr>
                  <w:r w:rsidRPr="002B690E">
                    <w:rPr>
                      <w:color w:val="000000"/>
                      <w:sz w:val="20"/>
                      <w:szCs w:val="20"/>
                    </w:rPr>
                    <w:t>Part 2</w:t>
                  </w:r>
                </w:p>
                <w:p w:rsidR="00352FF1" w:rsidRPr="002B690E" w:rsidRDefault="00352FF1" w:rsidP="00352FF1">
                  <w:pPr>
                    <w:snapToGrid w:val="0"/>
                    <w:rPr>
                      <w:color w:val="000000"/>
                      <w:sz w:val="20"/>
                      <w:szCs w:val="20"/>
                    </w:rPr>
                  </w:pPr>
                </w:p>
                <w:p w:rsidR="00352FF1" w:rsidRPr="002B690E" w:rsidRDefault="00352FF1" w:rsidP="00352FF1">
                  <w:pPr>
                    <w:snapToGrid w:val="0"/>
                    <w:rPr>
                      <w:color w:val="000000"/>
                      <w:sz w:val="20"/>
                      <w:szCs w:val="20"/>
                    </w:rPr>
                  </w:pPr>
                  <w:r w:rsidRPr="002B690E">
                    <w:rPr>
                      <w:color w:val="000000"/>
                      <w:sz w:val="20"/>
                      <w:szCs w:val="20"/>
                    </w:rPr>
                    <w:t>Wideband or Subband (**)</w:t>
                  </w:r>
                </w:p>
              </w:tc>
              <w:tc>
                <w:tcPr>
                  <w:tcW w:w="4038" w:type="dxa"/>
                  <w:tcBorders>
                    <w:top w:val="nil"/>
                    <w:left w:val="nil"/>
                    <w:bottom w:val="single" w:sz="8" w:space="0" w:color="000000"/>
                    <w:right w:val="single" w:sz="8" w:space="0" w:color="000000"/>
                  </w:tcBorders>
                  <w:tcMar>
                    <w:top w:w="0" w:type="dxa"/>
                    <w:left w:w="108" w:type="dxa"/>
                    <w:bottom w:w="0" w:type="dxa"/>
                    <w:right w:w="108" w:type="dxa"/>
                  </w:tcMar>
                </w:tcPr>
                <w:p w:rsidR="00352FF1" w:rsidRPr="002B690E" w:rsidRDefault="00352FF1" w:rsidP="00352FF1">
                  <w:pPr>
                    <w:snapToGrid w:val="0"/>
                    <w:rPr>
                      <w:sz w:val="20"/>
                      <w:szCs w:val="20"/>
                    </w:rPr>
                  </w:pPr>
                  <w:r w:rsidRPr="002B690E">
                    <w:rPr>
                      <w:i/>
                      <w:sz w:val="20"/>
                      <w:szCs w:val="20"/>
                    </w:rPr>
                    <w:t>v</w:t>
                  </w:r>
                  <w:r w:rsidRPr="002B690E">
                    <w:rPr>
                      <w:sz w:val="20"/>
                      <w:szCs w:val="20"/>
                    </w:rPr>
                    <w:t xml:space="preserve">=5-8: </w:t>
                  </w:r>
                  <w:r w:rsidRPr="002B690E">
                    <w:rPr>
                      <w:color w:val="000000"/>
                      <w:sz w:val="20"/>
                      <w:szCs w:val="20"/>
                      <w:lang w:eastAsia="x-none"/>
                    </w:rPr>
                    <w:t xml:space="preserve">QPSK: 2-bit indicator per layer group </w:t>
                  </w:r>
                  <w:r w:rsidRPr="002B690E">
                    <w:rPr>
                      <w:i/>
                      <w:color w:val="000000"/>
                      <w:sz w:val="20"/>
                      <w:szCs w:val="20"/>
                      <w:lang w:eastAsia="x-none"/>
                    </w:rPr>
                    <w:t>l=</w:t>
                  </w:r>
                  <w:r w:rsidRPr="002B690E">
                    <w:rPr>
                      <w:color w:val="000000"/>
                      <w:sz w:val="20"/>
                      <w:szCs w:val="20"/>
                      <w:lang w:eastAsia="x-none"/>
                    </w:rPr>
                    <w:t>1</w:t>
                  </w:r>
                  <w:r w:rsidRPr="002B690E">
                    <w:rPr>
                      <w:i/>
                      <w:color w:val="000000"/>
                      <w:sz w:val="20"/>
                      <w:szCs w:val="20"/>
                      <w:lang w:eastAsia="x-none"/>
                    </w:rPr>
                    <w:t xml:space="preserve">, …, </w:t>
                  </w:r>
                  <m:oMath>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G</m:t>
                        </m:r>
                      </m:sub>
                    </m:sSub>
                  </m:oMath>
                </w:p>
              </w:tc>
            </w:tr>
          </w:tbl>
          <w:p w:rsidR="00352FF1" w:rsidRPr="002B690E" w:rsidRDefault="00352FF1" w:rsidP="00352FF1">
            <w:pPr>
              <w:snapToGrid w:val="0"/>
              <w:rPr>
                <w:color w:val="FF0000"/>
                <w:sz w:val="20"/>
                <w:szCs w:val="20"/>
              </w:rPr>
            </w:pPr>
            <w:r w:rsidRPr="002B690E">
              <w:rPr>
                <w:color w:val="FF0000"/>
                <w:sz w:val="20"/>
                <w:szCs w:val="20"/>
              </w:rPr>
              <w:t>(*): Not included when CQI reporting granularity is set to ‘wideband’</w:t>
            </w:r>
          </w:p>
          <w:p w:rsidR="00352FF1" w:rsidRPr="002B690E" w:rsidRDefault="00352FF1" w:rsidP="00352FF1">
            <w:pPr>
              <w:snapToGrid w:val="0"/>
              <w:rPr>
                <w:color w:val="FF0000"/>
                <w:sz w:val="20"/>
                <w:szCs w:val="20"/>
              </w:rPr>
            </w:pPr>
            <w:r w:rsidRPr="002B690E">
              <w:rPr>
                <w:color w:val="FF0000"/>
                <w:sz w:val="20"/>
                <w:szCs w:val="20"/>
              </w:rPr>
              <w:t>(**): Wideband when PMI reporting is set to ‘wideband’, Subband when PMI reporting granularity is set to ‘subband’</w:t>
            </w:r>
          </w:p>
          <w:p w:rsidR="00352FF1" w:rsidRPr="002B690E" w:rsidRDefault="00352FF1" w:rsidP="00352FF1">
            <w:pPr>
              <w:rPr>
                <w:iCs/>
                <w:sz w:val="20"/>
                <w:szCs w:val="20"/>
                <w:lang w:eastAsia="x-none"/>
              </w:rPr>
            </w:pPr>
          </w:p>
          <w:p w:rsidR="00352FF1" w:rsidRPr="002B690E" w:rsidRDefault="00352FF1" w:rsidP="00352FF1">
            <w:pPr>
              <w:snapToGrid w:val="0"/>
              <w:jc w:val="both"/>
              <w:rPr>
                <w:sz w:val="20"/>
                <w:szCs w:val="20"/>
              </w:rPr>
            </w:pPr>
            <w:r w:rsidRPr="002B690E">
              <w:rPr>
                <w:b/>
                <w:sz w:val="20"/>
                <w:szCs w:val="20"/>
              </w:rPr>
              <w:t>Conclusion</w:t>
            </w:r>
          </w:p>
          <w:p w:rsidR="00352FF1" w:rsidRPr="002B690E" w:rsidRDefault="00352FF1" w:rsidP="00352FF1">
            <w:pPr>
              <w:snapToGrid w:val="0"/>
              <w:jc w:val="both"/>
              <w:rPr>
                <w:sz w:val="20"/>
                <w:szCs w:val="20"/>
              </w:rPr>
            </w:pPr>
            <w:r w:rsidRPr="002B690E">
              <w:rPr>
                <w:sz w:val="20"/>
                <w:szCs w:val="20"/>
              </w:rPr>
              <w:t xml:space="preserve">For the </w:t>
            </w:r>
            <w:r w:rsidRPr="002B690E">
              <w:rPr>
                <w:iCs/>
                <w:sz w:val="20"/>
                <w:szCs w:val="20"/>
              </w:rPr>
              <w:t xml:space="preserve">Rel-19 Type-I SP codebook refinement for 48, 64, and 128 CSI-RS ports, conditioned in UE capabilities, a UE can be </w:t>
            </w:r>
            <w:r w:rsidRPr="002B690E">
              <w:rPr>
                <w:sz w:val="20"/>
                <w:szCs w:val="20"/>
              </w:rPr>
              <w:t>configured with either the group-based hard CBSR, or the 3-bit SD basis group-based scaling factor, or both, or none of the two</w:t>
            </w:r>
          </w:p>
          <w:p w:rsidR="00352FF1" w:rsidRPr="002B690E" w:rsidRDefault="00352FF1" w:rsidP="00352FF1">
            <w:pPr>
              <w:rPr>
                <w:iCs/>
                <w:sz w:val="20"/>
                <w:szCs w:val="20"/>
                <w:lang w:eastAsia="x-none"/>
              </w:rPr>
            </w:pPr>
          </w:p>
          <w:p w:rsidR="00352FF1" w:rsidRPr="002B690E" w:rsidRDefault="00352FF1" w:rsidP="00352FF1">
            <w:pPr>
              <w:rPr>
                <w:b/>
                <w:bCs/>
                <w:sz w:val="20"/>
                <w:szCs w:val="20"/>
                <w:highlight w:val="green"/>
                <w:lang w:eastAsia="x-none"/>
              </w:rPr>
            </w:pPr>
            <w:r w:rsidRPr="002B690E">
              <w:rPr>
                <w:b/>
                <w:bCs/>
                <w:sz w:val="20"/>
                <w:szCs w:val="20"/>
                <w:highlight w:val="green"/>
                <w:lang w:eastAsia="x-none"/>
              </w:rPr>
              <w:t>Agreement</w:t>
            </w:r>
          </w:p>
          <w:p w:rsidR="00352FF1" w:rsidRPr="002B690E" w:rsidRDefault="00352FF1" w:rsidP="00352FF1">
            <w:pPr>
              <w:jc w:val="both"/>
              <w:rPr>
                <w:rFonts w:eastAsia="Malgun Gothic"/>
                <w:b/>
                <w:sz w:val="20"/>
                <w:szCs w:val="20"/>
                <w:u w:val="single"/>
              </w:rPr>
            </w:pPr>
            <w:r w:rsidRPr="002B690E">
              <w:rPr>
                <w:rFonts w:eastAsia="Malgun Gothic"/>
                <w:sz w:val="20"/>
                <w:szCs w:val="20"/>
              </w:rPr>
              <w:t>For the Rel-19 aperiodic standalone CJT calibration reporting, when ReportQuantity is ‘cjtc-P’ (DL/UL phase offset), the selection of P</w:t>
            </w:r>
            <w:r w:rsidRPr="002B690E">
              <w:rPr>
                <w:rFonts w:eastAsia="Malgun Gothic"/>
                <w:sz w:val="20"/>
                <w:szCs w:val="20"/>
                <w:vertAlign w:val="subscript"/>
              </w:rPr>
              <w:t>SRS</w:t>
            </w:r>
            <w:r w:rsidRPr="002B690E">
              <w:rPr>
                <w:rFonts w:eastAsia="Malgun Gothic"/>
                <w:sz w:val="20"/>
                <w:szCs w:val="20"/>
              </w:rPr>
              <w:t>=1 SRS port corresponding to the ‘reference UE antenna port’ (out of available port(s)) is NW-configured via higher-layer (RRC) signalling</w:t>
            </w:r>
          </w:p>
          <w:p w:rsidR="00352FF1" w:rsidRPr="002B690E" w:rsidRDefault="00352FF1" w:rsidP="00352FF1">
            <w:pPr>
              <w:rPr>
                <w:iCs/>
                <w:sz w:val="20"/>
                <w:szCs w:val="20"/>
                <w:lang w:eastAsia="x-none"/>
              </w:rPr>
            </w:pPr>
          </w:p>
          <w:p w:rsidR="00352FF1" w:rsidRPr="002B690E" w:rsidRDefault="00352FF1" w:rsidP="00352FF1">
            <w:pPr>
              <w:jc w:val="both"/>
              <w:rPr>
                <w:rFonts w:eastAsia="Malgun Gothic"/>
                <w:sz w:val="20"/>
                <w:szCs w:val="20"/>
              </w:rPr>
            </w:pPr>
            <w:r w:rsidRPr="002B690E">
              <w:rPr>
                <w:rFonts w:eastAsia="Malgun Gothic"/>
                <w:b/>
                <w:sz w:val="20"/>
                <w:szCs w:val="20"/>
                <w:highlight w:val="darkYellow"/>
              </w:rPr>
              <w:t>Working Assumption</w:t>
            </w:r>
          </w:p>
          <w:p w:rsidR="00352FF1" w:rsidRPr="002B690E" w:rsidRDefault="00352FF1" w:rsidP="00352FF1">
            <w:pPr>
              <w:jc w:val="both"/>
              <w:rPr>
                <w:rFonts w:eastAsia="Malgun Gothic"/>
                <w:sz w:val="20"/>
                <w:szCs w:val="20"/>
              </w:rPr>
            </w:pPr>
            <w:r w:rsidRPr="002B690E">
              <w:rPr>
                <w:rFonts w:eastAsia="Malgun Gothic"/>
                <w:sz w:val="20"/>
                <w:szCs w:val="20"/>
              </w:rPr>
              <w:t xml:space="preserve">For the Rel-19 aperiodic standalone CJT calibration reporting, when ReportQuantity is ‘cjtc-P’ (DL/UL phase offset), the configured associated SRS resource can be either periodic, semi-persistent, or aperiodic </w:t>
            </w:r>
          </w:p>
          <w:p w:rsidR="00352FF1" w:rsidRPr="002B690E" w:rsidRDefault="00352FF1" w:rsidP="00352FF1">
            <w:pPr>
              <w:rPr>
                <w:iCs/>
                <w:sz w:val="20"/>
                <w:szCs w:val="20"/>
                <w:lang w:eastAsia="x-none"/>
              </w:rPr>
            </w:pPr>
          </w:p>
          <w:p w:rsidR="00352FF1" w:rsidRPr="002B690E" w:rsidRDefault="00352FF1" w:rsidP="00352FF1">
            <w:pPr>
              <w:rPr>
                <w:b/>
                <w:bCs/>
                <w:sz w:val="20"/>
                <w:szCs w:val="20"/>
                <w:highlight w:val="green"/>
                <w:lang w:eastAsia="x-none"/>
              </w:rPr>
            </w:pPr>
            <w:r w:rsidRPr="002B690E">
              <w:rPr>
                <w:b/>
                <w:bCs/>
                <w:sz w:val="20"/>
                <w:szCs w:val="20"/>
                <w:highlight w:val="green"/>
                <w:lang w:eastAsia="x-none"/>
              </w:rPr>
              <w:t>Agreement</w:t>
            </w:r>
          </w:p>
          <w:p w:rsidR="00352FF1" w:rsidRPr="002B690E" w:rsidRDefault="00352FF1" w:rsidP="00352FF1">
            <w:pPr>
              <w:snapToGrid w:val="0"/>
              <w:rPr>
                <w:rFonts w:eastAsia="Calibri"/>
                <w:sz w:val="20"/>
                <w:szCs w:val="20"/>
              </w:rPr>
            </w:pPr>
            <w:r w:rsidRPr="002B690E">
              <w:rPr>
                <w:rFonts w:eastAsia="Calibri"/>
                <w:sz w:val="20"/>
                <w:szCs w:val="20"/>
              </w:rPr>
              <w:t>For the Rel-19 aperiodic standalone CJT calibration reporting, regarding the resolution for delay offset reporting D</w:t>
            </w:r>
            <w:r w:rsidRPr="002B690E">
              <w:rPr>
                <w:rFonts w:eastAsia="Calibri"/>
                <w:sz w:val="20"/>
                <w:szCs w:val="20"/>
                <w:vertAlign w:val="subscript"/>
              </w:rPr>
              <w:t>n,offset</w:t>
            </w:r>
            <w:r w:rsidRPr="002B690E">
              <w:rPr>
                <w:rFonts w:eastAsia="Calibri"/>
                <w:sz w:val="20"/>
                <w:szCs w:val="20"/>
              </w:rPr>
              <w:t>, additionally support M</w:t>
            </w:r>
            <w:r w:rsidRPr="002B690E">
              <w:rPr>
                <w:rFonts w:eastAsia="Calibri"/>
                <w:sz w:val="20"/>
                <w:szCs w:val="20"/>
                <w:vertAlign w:val="subscript"/>
              </w:rPr>
              <w:t>D</w:t>
            </w:r>
            <w:r w:rsidRPr="002B690E">
              <w:rPr>
                <w:rFonts w:eastAsia="Calibri"/>
                <w:sz w:val="20"/>
                <w:szCs w:val="20"/>
              </w:rPr>
              <w:t xml:space="preserve"> = {128, 256}</w:t>
            </w:r>
          </w:p>
          <w:p w:rsidR="00352FF1" w:rsidRPr="002B690E" w:rsidRDefault="00352FF1" w:rsidP="00352FF1">
            <w:pPr>
              <w:snapToGrid w:val="0"/>
              <w:rPr>
                <w:rFonts w:eastAsia="Calibri"/>
                <w:sz w:val="20"/>
                <w:szCs w:val="20"/>
              </w:rPr>
            </w:pPr>
          </w:p>
          <w:p w:rsidR="00352FF1" w:rsidRPr="002B690E" w:rsidRDefault="00352FF1" w:rsidP="00352FF1">
            <w:pPr>
              <w:rPr>
                <w:b/>
                <w:bCs/>
                <w:sz w:val="20"/>
                <w:szCs w:val="20"/>
                <w:highlight w:val="green"/>
                <w:lang w:eastAsia="x-none"/>
              </w:rPr>
            </w:pPr>
            <w:r w:rsidRPr="002B690E">
              <w:rPr>
                <w:b/>
                <w:bCs/>
                <w:sz w:val="20"/>
                <w:szCs w:val="20"/>
                <w:highlight w:val="green"/>
                <w:lang w:eastAsia="x-none"/>
              </w:rPr>
              <w:t>Agreement</w:t>
            </w:r>
          </w:p>
          <w:p w:rsidR="00352FF1" w:rsidRPr="0056052B" w:rsidRDefault="00352FF1" w:rsidP="00352FF1">
            <w:pPr>
              <w:snapToGrid w:val="0"/>
              <w:jc w:val="both"/>
              <w:rPr>
                <w:bCs/>
                <w:sz w:val="20"/>
                <w:szCs w:val="20"/>
              </w:rPr>
            </w:pPr>
            <w:r w:rsidRPr="0056052B">
              <w:rPr>
                <w:bCs/>
                <w:sz w:val="20"/>
                <w:szCs w:val="20"/>
              </w:rPr>
              <w:t>For the Rel-19 aperiodic standalone CJT calibration reporting, when ReportQuantity is ‘cjtc-P’ (DL/UL phase offset), regarding the support of sub-band reporting (</w:t>
            </w:r>
            <w:r w:rsidRPr="0056052B">
              <w:rPr>
                <w:rFonts w:ascii="Symbol" w:eastAsia="Malgun Gothic" w:hAnsi="Symbol"/>
                <w:sz w:val="20"/>
                <w:szCs w:val="20"/>
              </w:rPr>
              <w:t></w:t>
            </w:r>
            <w:r w:rsidRPr="0056052B">
              <w:rPr>
                <w:bCs/>
                <w:sz w:val="20"/>
                <w:szCs w:val="20"/>
              </w:rPr>
              <w:t>&gt;1):</w:t>
            </w:r>
          </w:p>
          <w:p w:rsidR="00352FF1" w:rsidRPr="0056052B" w:rsidRDefault="00352FF1" w:rsidP="00352FF1">
            <w:pPr>
              <w:numPr>
                <w:ilvl w:val="0"/>
                <w:numId w:val="1041"/>
              </w:numPr>
              <w:snapToGrid w:val="0"/>
              <w:contextualSpacing/>
              <w:rPr>
                <w:rFonts w:eastAsia="SimSun"/>
                <w:color w:val="000000"/>
                <w:sz w:val="20"/>
                <w:szCs w:val="20"/>
              </w:rPr>
            </w:pPr>
            <w:r w:rsidRPr="0056052B">
              <w:rPr>
                <w:rFonts w:eastAsia="SimSun"/>
                <w:sz w:val="20"/>
                <w:szCs w:val="20"/>
              </w:rPr>
              <w:t xml:space="preserve">Denoting the number of reported sub-band phase-offset values </w:t>
            </w:r>
            <w:r w:rsidRPr="0056052B">
              <w:rPr>
                <w:rFonts w:eastAsia="Calibri"/>
                <w:sz w:val="20"/>
                <w:szCs w:val="20"/>
              </w:rPr>
              <w:t>as N</w:t>
            </w:r>
            <w:r w:rsidRPr="0056052B">
              <w:rPr>
                <w:rFonts w:eastAsia="Calibri"/>
                <w:sz w:val="20"/>
                <w:szCs w:val="20"/>
                <w:vertAlign w:val="subscript"/>
              </w:rPr>
              <w:t>SB-P</w:t>
            </w:r>
            <w:r w:rsidRPr="0056052B">
              <w:rPr>
                <w:rFonts w:eastAsia="SimSun"/>
                <w:sz w:val="20"/>
                <w:szCs w:val="20"/>
              </w:rPr>
              <w:t xml:space="preserve">, and the sub-bands are indexed as {0, 1, …, </w:t>
            </w:r>
            <w:r w:rsidRPr="0056052B">
              <w:rPr>
                <w:rFonts w:eastAsia="Calibri"/>
                <w:sz w:val="20"/>
                <w:szCs w:val="20"/>
              </w:rPr>
              <w:t>N</w:t>
            </w:r>
            <w:r w:rsidRPr="0056052B">
              <w:rPr>
                <w:rFonts w:eastAsia="Calibri"/>
                <w:sz w:val="20"/>
                <w:szCs w:val="20"/>
                <w:vertAlign w:val="subscript"/>
              </w:rPr>
              <w:t xml:space="preserve">SB-P </w:t>
            </w:r>
            <w:r w:rsidRPr="0056052B">
              <w:rPr>
                <w:rFonts w:eastAsia="SimSun"/>
                <w:sz w:val="20"/>
                <w:szCs w:val="20"/>
              </w:rPr>
              <w:t xml:space="preserve">–1}, </w:t>
            </w:r>
            <w:r w:rsidRPr="0056052B">
              <w:rPr>
                <w:rFonts w:eastAsia="Calibri"/>
                <w:sz w:val="20"/>
                <w:szCs w:val="20"/>
              </w:rPr>
              <w:t>support, as a separate UE capability from wideband (</w:t>
            </w:r>
            <w:r w:rsidRPr="0056052B">
              <w:rPr>
                <w:rFonts w:ascii="Symbol" w:eastAsia="Calibri" w:hAnsi="Symbol"/>
                <w:sz w:val="20"/>
                <w:szCs w:val="20"/>
              </w:rPr>
              <w:t></w:t>
            </w:r>
            <w:r w:rsidRPr="0056052B">
              <w:rPr>
                <w:rFonts w:eastAsia="Calibri"/>
                <w:sz w:val="20"/>
                <w:szCs w:val="20"/>
              </w:rPr>
              <w:t xml:space="preserve">=1) phase offset reporting, reporting, in one CSI reporting instance, </w:t>
            </w:r>
            <w:r w:rsidRPr="0056052B">
              <w:rPr>
                <w:rFonts w:eastAsia="Malgun Gothic"/>
                <w:sz w:val="20"/>
                <w:szCs w:val="20"/>
              </w:rPr>
              <w:t>{</w:t>
            </w:r>
            <w:r w:rsidRPr="0056052B">
              <w:rPr>
                <w:sz w:val="20"/>
                <w:szCs w:val="20"/>
              </w:rPr>
              <w:t>(</w:t>
            </w:r>
            <w:r w:rsidRPr="0056052B">
              <w:rPr>
                <w:rFonts w:ascii="Symbol" w:hAnsi="Symbol"/>
                <w:sz w:val="20"/>
                <w:szCs w:val="20"/>
              </w:rPr>
              <w:t></w:t>
            </w:r>
            <w:r w:rsidRPr="0056052B">
              <w:rPr>
                <w:sz w:val="20"/>
                <w:szCs w:val="20"/>
                <w:vertAlign w:val="subscript"/>
              </w:rPr>
              <w:t>n,</w:t>
            </w:r>
            <w:r w:rsidRPr="0056052B">
              <w:rPr>
                <w:rFonts w:ascii="Symbol" w:hAnsi="Symbol"/>
                <w:sz w:val="20"/>
                <w:szCs w:val="20"/>
                <w:vertAlign w:val="subscript"/>
              </w:rPr>
              <w:t></w:t>
            </w:r>
            <w:r w:rsidRPr="0056052B">
              <w:rPr>
                <w:sz w:val="20"/>
                <w:szCs w:val="20"/>
              </w:rPr>
              <w:t xml:space="preserve">, </w:t>
            </w:r>
            <w:r w:rsidRPr="0056052B">
              <w:rPr>
                <w:rFonts w:ascii="Symbol" w:hAnsi="Symbol"/>
                <w:sz w:val="20"/>
                <w:szCs w:val="20"/>
              </w:rPr>
              <w:t></w:t>
            </w:r>
            <w:r w:rsidRPr="0056052B">
              <w:rPr>
                <w:sz w:val="20"/>
                <w:szCs w:val="20"/>
                <w:vertAlign w:val="subscript"/>
              </w:rPr>
              <w:t>n,</w:t>
            </w:r>
            <w:r w:rsidRPr="0056052B">
              <w:rPr>
                <w:rFonts w:ascii="Symbol" w:hAnsi="Symbol"/>
                <w:sz w:val="20"/>
                <w:szCs w:val="20"/>
                <w:vertAlign w:val="subscript"/>
              </w:rPr>
              <w:t></w:t>
            </w:r>
            <w:r w:rsidRPr="0056052B">
              <w:rPr>
                <w:rFonts w:ascii="Symbol" w:hAnsi="Symbol"/>
                <w:sz w:val="20"/>
                <w:szCs w:val="20"/>
                <w:vertAlign w:val="subscript"/>
              </w:rPr>
              <w:t></w:t>
            </w:r>
            <w:r w:rsidRPr="0056052B">
              <w:rPr>
                <w:rFonts w:ascii="Symbol" w:hAnsi="Symbol"/>
                <w:sz w:val="20"/>
                <w:szCs w:val="20"/>
                <w:vertAlign w:val="subscript"/>
              </w:rPr>
              <w:t></w:t>
            </w:r>
            <w:r w:rsidRPr="0056052B">
              <w:rPr>
                <w:rFonts w:ascii="Symbol" w:hAnsi="Symbol"/>
                <w:sz w:val="20"/>
                <w:szCs w:val="20"/>
              </w:rPr>
              <w:t></w:t>
            </w:r>
            <w:r w:rsidRPr="0056052B">
              <w:rPr>
                <w:rFonts w:ascii="Symbol" w:hAnsi="Symbol"/>
                <w:sz w:val="20"/>
                <w:szCs w:val="20"/>
              </w:rPr>
              <w:t></w:t>
            </w:r>
            <w:r w:rsidRPr="0056052B">
              <w:rPr>
                <w:rFonts w:ascii="Symbol" w:hAnsi="Symbol"/>
                <w:sz w:val="20"/>
                <w:szCs w:val="20"/>
              </w:rPr>
              <w:t></w:t>
            </w:r>
            <w:r w:rsidRPr="0056052B">
              <w:rPr>
                <w:sz w:val="20"/>
                <w:szCs w:val="20"/>
                <w:vertAlign w:val="subscript"/>
              </w:rPr>
              <w:t>,</w:t>
            </w:r>
            <w:r w:rsidRPr="0056052B">
              <w:rPr>
                <w:sz w:val="20"/>
                <w:szCs w:val="20"/>
              </w:rPr>
              <w:t xml:space="preserve"> </w:t>
            </w:r>
            <w:r w:rsidRPr="0056052B">
              <w:rPr>
                <w:rFonts w:ascii="Symbol" w:hAnsi="Symbol"/>
                <w:sz w:val="20"/>
                <w:szCs w:val="20"/>
              </w:rPr>
              <w:t></w:t>
            </w:r>
            <w:r w:rsidRPr="0056052B">
              <w:rPr>
                <w:sz w:val="20"/>
                <w:szCs w:val="20"/>
                <w:vertAlign w:val="subscript"/>
              </w:rPr>
              <w:t>n,NSB-P</w:t>
            </w:r>
            <w:r w:rsidRPr="0056052B">
              <w:rPr>
                <w:rFonts w:ascii="Symbol" w:hAnsi="Symbol"/>
                <w:sz w:val="20"/>
                <w:szCs w:val="20"/>
                <w:vertAlign w:val="subscript"/>
              </w:rPr>
              <w:t></w:t>
            </w:r>
            <w:r w:rsidRPr="0056052B">
              <w:rPr>
                <w:rFonts w:ascii="Symbol" w:hAnsi="Symbol"/>
                <w:sz w:val="20"/>
                <w:szCs w:val="20"/>
                <w:vertAlign w:val="subscript"/>
              </w:rPr>
              <w:t></w:t>
            </w:r>
            <w:r w:rsidRPr="0056052B">
              <w:rPr>
                <w:rFonts w:ascii="Symbol" w:hAnsi="Symbol"/>
                <w:sz w:val="20"/>
                <w:szCs w:val="20"/>
                <w:vertAlign w:val="subscript"/>
              </w:rPr>
              <w:t></w:t>
            </w:r>
            <w:r w:rsidRPr="0056052B">
              <w:rPr>
                <w:sz w:val="20"/>
                <w:szCs w:val="20"/>
              </w:rPr>
              <w:t>), n=0, 1, …, N</w:t>
            </w:r>
            <w:r w:rsidRPr="0056052B">
              <w:rPr>
                <w:sz w:val="20"/>
                <w:szCs w:val="20"/>
                <w:vertAlign w:val="subscript"/>
              </w:rPr>
              <w:t>TRP</w:t>
            </w:r>
            <w:r w:rsidRPr="0056052B">
              <w:rPr>
                <w:sz w:val="20"/>
                <w:szCs w:val="20"/>
              </w:rPr>
              <w:t xml:space="preserve"> – 1, n≠nref}</w:t>
            </w:r>
          </w:p>
          <w:p w:rsidR="00352FF1" w:rsidRPr="0056052B" w:rsidRDefault="00352FF1" w:rsidP="00352FF1">
            <w:pPr>
              <w:pStyle w:val="ListParagraph"/>
              <w:numPr>
                <w:ilvl w:val="1"/>
                <w:numId w:val="1041"/>
              </w:numPr>
              <w:snapToGrid w:val="0"/>
              <w:ind w:leftChars="0"/>
              <w:jc w:val="both"/>
              <w:rPr>
                <w:bCs/>
                <w:szCs w:val="20"/>
                <w:lang w:eastAsia="zh-CN"/>
              </w:rPr>
            </w:pPr>
            <w:r w:rsidRPr="0056052B">
              <w:rPr>
                <w:szCs w:val="20"/>
              </w:rPr>
              <w:t xml:space="preserve">The alphabet for </w:t>
            </w:r>
            <w:r w:rsidRPr="0056052B">
              <w:rPr>
                <w:rFonts w:ascii="Symbol" w:hAnsi="Symbol"/>
                <w:szCs w:val="20"/>
              </w:rPr>
              <w:t></w:t>
            </w:r>
            <w:r w:rsidRPr="0056052B">
              <w:rPr>
                <w:szCs w:val="20"/>
                <w:vertAlign w:val="subscript"/>
              </w:rPr>
              <w:t>n,</w:t>
            </w:r>
            <w:r w:rsidRPr="0056052B">
              <w:rPr>
                <w:rFonts w:ascii="Symbol" w:hAnsi="Symbol"/>
                <w:szCs w:val="20"/>
                <w:vertAlign w:val="subscript"/>
              </w:rPr>
              <w:t></w:t>
            </w:r>
            <w:r w:rsidRPr="0056052B">
              <w:rPr>
                <w:szCs w:val="20"/>
                <w:vertAlign w:val="subscript"/>
              </w:rPr>
              <w:t xml:space="preserve"> </w:t>
            </w:r>
            <w:r w:rsidRPr="0056052B">
              <w:rPr>
                <w:szCs w:val="20"/>
              </w:rPr>
              <w:t xml:space="preserve">follows the previously agreed alphabet for </w:t>
            </w:r>
            <w:r w:rsidRPr="0056052B">
              <w:rPr>
                <w:rFonts w:ascii="Symbol" w:hAnsi="Symbol"/>
                <w:szCs w:val="20"/>
              </w:rPr>
              <w:t></w:t>
            </w:r>
            <w:r w:rsidRPr="0056052B">
              <w:rPr>
                <w:szCs w:val="20"/>
              </w:rPr>
              <w:t>=1, including the ‘invalid’ state</w:t>
            </w:r>
          </w:p>
          <w:p w:rsidR="00352FF1" w:rsidRPr="0056052B" w:rsidRDefault="00352FF1" w:rsidP="00352FF1">
            <w:pPr>
              <w:pStyle w:val="ListParagraph"/>
              <w:numPr>
                <w:ilvl w:val="0"/>
                <w:numId w:val="1041"/>
              </w:numPr>
              <w:snapToGrid w:val="0"/>
              <w:ind w:leftChars="0"/>
              <w:jc w:val="both"/>
              <w:rPr>
                <w:bCs/>
                <w:szCs w:val="20"/>
                <w:lang w:eastAsia="zh-CN"/>
              </w:rPr>
            </w:pPr>
            <w:r w:rsidRPr="0056052B">
              <w:rPr>
                <w:szCs w:val="20"/>
              </w:rPr>
              <w:t xml:space="preserve">FFS: </w:t>
            </w:r>
          </w:p>
          <w:p w:rsidR="00352FF1" w:rsidRPr="0056052B" w:rsidRDefault="00352FF1" w:rsidP="00352FF1">
            <w:pPr>
              <w:pStyle w:val="ListParagraph"/>
              <w:numPr>
                <w:ilvl w:val="1"/>
                <w:numId w:val="1041"/>
              </w:numPr>
              <w:snapToGrid w:val="0"/>
              <w:ind w:leftChars="0"/>
              <w:jc w:val="both"/>
              <w:rPr>
                <w:bCs/>
                <w:szCs w:val="20"/>
                <w:lang w:eastAsia="zh-CN"/>
              </w:rPr>
            </w:pPr>
            <w:r w:rsidRPr="0056052B">
              <w:rPr>
                <w:bCs/>
                <w:szCs w:val="20"/>
                <w:lang w:eastAsia="zh-CN"/>
              </w:rPr>
              <w:t xml:space="preserve">Supported sub-band size(s), e.g. </w:t>
            </w:r>
            <w:r w:rsidRPr="0056052B">
              <w:rPr>
                <w:color w:val="000000"/>
                <w:szCs w:val="20"/>
              </w:rPr>
              <w:t>following the legacy CSI sub-band definition, vs {1, 2, 4, 8, 16 PRBs}</w:t>
            </w:r>
          </w:p>
          <w:p w:rsidR="00352FF1" w:rsidRPr="0056052B" w:rsidRDefault="00352FF1" w:rsidP="00352FF1">
            <w:pPr>
              <w:pStyle w:val="ListParagraph"/>
              <w:numPr>
                <w:ilvl w:val="1"/>
                <w:numId w:val="1041"/>
              </w:numPr>
              <w:snapToGrid w:val="0"/>
              <w:ind w:leftChars="0"/>
              <w:jc w:val="both"/>
              <w:rPr>
                <w:bCs/>
                <w:szCs w:val="20"/>
                <w:lang w:eastAsia="zh-CN"/>
              </w:rPr>
            </w:pPr>
            <w:r w:rsidRPr="0056052B">
              <w:rPr>
                <w:szCs w:val="20"/>
              </w:rPr>
              <w:t>Whether the UE performs measurement over the entire configured CSI reporting band W</w:t>
            </w:r>
            <w:r w:rsidRPr="0056052B">
              <w:rPr>
                <w:szCs w:val="20"/>
                <w:vertAlign w:val="subscript"/>
              </w:rPr>
              <w:t>CSI</w:t>
            </w:r>
          </w:p>
          <w:p w:rsidR="00352FF1" w:rsidRPr="0056052B" w:rsidRDefault="00352FF1" w:rsidP="00352FF1">
            <w:pPr>
              <w:pStyle w:val="ListParagraph"/>
              <w:numPr>
                <w:ilvl w:val="1"/>
                <w:numId w:val="1041"/>
              </w:numPr>
              <w:snapToGrid w:val="0"/>
              <w:ind w:leftChars="0"/>
              <w:jc w:val="both"/>
              <w:rPr>
                <w:bCs/>
                <w:szCs w:val="20"/>
                <w:lang w:eastAsia="zh-CN"/>
              </w:rPr>
            </w:pPr>
            <w:r w:rsidRPr="0056052B">
              <w:rPr>
                <w:szCs w:val="20"/>
              </w:rPr>
              <w:t xml:space="preserve">If needed, mechanism to limit CSI reporting overhead (e.g. maximum </w:t>
            </w:r>
            <w:r w:rsidRPr="0056052B">
              <w:rPr>
                <w:rFonts w:eastAsia="Calibri"/>
                <w:szCs w:val="20"/>
              </w:rPr>
              <w:t>N</w:t>
            </w:r>
            <w:r w:rsidRPr="0056052B">
              <w:rPr>
                <w:rFonts w:eastAsia="Calibri"/>
                <w:szCs w:val="20"/>
                <w:vertAlign w:val="subscript"/>
              </w:rPr>
              <w:t>SB-P</w:t>
            </w:r>
            <w:r w:rsidRPr="0056052B">
              <w:rPr>
                <w:szCs w:val="20"/>
              </w:rPr>
              <w:t xml:space="preserve">)  </w:t>
            </w:r>
          </w:p>
          <w:p w:rsidR="00352FF1" w:rsidRPr="0056052B" w:rsidRDefault="00352FF1" w:rsidP="00352FF1">
            <w:pPr>
              <w:pStyle w:val="ListParagraph"/>
              <w:numPr>
                <w:ilvl w:val="1"/>
                <w:numId w:val="1041"/>
              </w:numPr>
              <w:snapToGrid w:val="0"/>
              <w:ind w:leftChars="0"/>
              <w:rPr>
                <w:bCs/>
                <w:szCs w:val="20"/>
                <w:lang w:eastAsia="zh-CN"/>
              </w:rPr>
            </w:pPr>
            <w:r w:rsidRPr="0056052B">
              <w:rPr>
                <w:bCs/>
                <w:szCs w:val="20"/>
                <w:lang w:eastAsia="zh-CN"/>
              </w:rPr>
              <w:t>If needed, configuration of whether the CSI-RSs are MRT-beamformed in frequency-domain or not</w:t>
            </w:r>
          </w:p>
          <w:p w:rsidR="00352FF1" w:rsidRPr="0056052B" w:rsidRDefault="00352FF1" w:rsidP="00352FF1">
            <w:pPr>
              <w:snapToGrid w:val="0"/>
              <w:jc w:val="both"/>
              <w:rPr>
                <w:bCs/>
                <w:sz w:val="20"/>
                <w:szCs w:val="20"/>
              </w:rPr>
            </w:pPr>
            <w:r w:rsidRPr="0056052B">
              <w:rPr>
                <w:bCs/>
                <w:sz w:val="20"/>
                <w:szCs w:val="20"/>
              </w:rPr>
              <w:t>Note: UE is not required to perform DO/FO compensation for sub-band phase offset calculation</w:t>
            </w:r>
          </w:p>
          <w:p w:rsidR="00352FF1" w:rsidRPr="0056052B" w:rsidRDefault="00352FF1" w:rsidP="00352FF1">
            <w:pPr>
              <w:snapToGrid w:val="0"/>
              <w:jc w:val="both"/>
              <w:rPr>
                <w:bCs/>
                <w:sz w:val="20"/>
                <w:szCs w:val="20"/>
              </w:rPr>
            </w:pPr>
            <w:r w:rsidRPr="0056052B">
              <w:rPr>
                <w:bCs/>
                <w:sz w:val="20"/>
                <w:szCs w:val="20"/>
              </w:rPr>
              <w:t>Note: There is a source R1-2407184 showing for frequency-domain-MRT-precoded CSI-RSs, inter-TRP phase has a linear rotation in frequency-domain, and is associated with a single delay component.</w:t>
            </w:r>
          </w:p>
          <w:p w:rsidR="00352FF1" w:rsidRPr="002B690E" w:rsidRDefault="00352FF1" w:rsidP="00352FF1">
            <w:pPr>
              <w:snapToGrid w:val="0"/>
              <w:rPr>
                <w:rFonts w:eastAsia="Calibri"/>
                <w:sz w:val="20"/>
                <w:szCs w:val="20"/>
              </w:rPr>
            </w:pPr>
          </w:p>
          <w:p w:rsidR="00352FF1" w:rsidRPr="002B690E" w:rsidRDefault="00352FF1" w:rsidP="00352FF1">
            <w:pPr>
              <w:rPr>
                <w:b/>
                <w:bCs/>
                <w:sz w:val="20"/>
                <w:szCs w:val="20"/>
                <w:highlight w:val="green"/>
                <w:lang w:eastAsia="x-none"/>
              </w:rPr>
            </w:pPr>
            <w:r w:rsidRPr="002B690E">
              <w:rPr>
                <w:b/>
                <w:bCs/>
                <w:sz w:val="20"/>
                <w:szCs w:val="20"/>
                <w:highlight w:val="green"/>
                <w:lang w:eastAsia="x-none"/>
              </w:rPr>
              <w:t>Agreement</w:t>
            </w:r>
          </w:p>
          <w:p w:rsidR="00352FF1" w:rsidRPr="002B690E" w:rsidRDefault="00352FF1" w:rsidP="00352FF1">
            <w:pPr>
              <w:snapToGrid w:val="0"/>
              <w:jc w:val="both"/>
              <w:rPr>
                <w:iCs/>
                <w:sz w:val="20"/>
                <w:szCs w:val="20"/>
                <w:lang w:eastAsia="x-none"/>
              </w:rPr>
            </w:pPr>
            <w:r w:rsidRPr="002B690E">
              <w:rPr>
                <w:iCs/>
                <w:sz w:val="20"/>
                <w:szCs w:val="20"/>
              </w:rPr>
              <w:t>For the 3-bit scaling scheme for Type-I SP codebook, support, in addition, (X</w:t>
            </w:r>
            <w:r w:rsidRPr="002B690E">
              <w:rPr>
                <w:iCs/>
                <w:sz w:val="20"/>
                <w:szCs w:val="20"/>
                <w:vertAlign w:val="subscript"/>
              </w:rPr>
              <w:t>1</w:t>
            </w:r>
            <w:r w:rsidRPr="002B690E">
              <w:rPr>
                <w:iCs/>
                <w:sz w:val="20"/>
                <w:szCs w:val="20"/>
              </w:rPr>
              <w:t>, X</w:t>
            </w:r>
            <w:r w:rsidRPr="002B690E">
              <w:rPr>
                <w:iCs/>
                <w:sz w:val="20"/>
                <w:szCs w:val="20"/>
                <w:vertAlign w:val="subscript"/>
              </w:rPr>
              <w:t>2</w:t>
            </w:r>
            <w:r w:rsidRPr="002B690E">
              <w:rPr>
                <w:iCs/>
                <w:sz w:val="20"/>
                <w:szCs w:val="20"/>
              </w:rPr>
              <w:t xml:space="preserve">)=(8,1) </w:t>
            </w:r>
          </w:p>
          <w:p w:rsidR="00352FF1" w:rsidRPr="002B690E" w:rsidRDefault="00352FF1" w:rsidP="00352FF1">
            <w:pPr>
              <w:snapToGrid w:val="0"/>
              <w:rPr>
                <w:rFonts w:eastAsia="Calibri"/>
                <w:sz w:val="20"/>
                <w:szCs w:val="20"/>
              </w:rPr>
            </w:pPr>
          </w:p>
          <w:p w:rsidR="00352FF1" w:rsidRPr="002B690E" w:rsidRDefault="00352FF1" w:rsidP="00352FF1">
            <w:pPr>
              <w:rPr>
                <w:b/>
                <w:bCs/>
                <w:sz w:val="20"/>
                <w:szCs w:val="20"/>
                <w:highlight w:val="green"/>
                <w:lang w:eastAsia="x-none"/>
              </w:rPr>
            </w:pPr>
            <w:r w:rsidRPr="002B690E">
              <w:rPr>
                <w:b/>
                <w:bCs/>
                <w:sz w:val="20"/>
                <w:szCs w:val="20"/>
                <w:highlight w:val="green"/>
                <w:lang w:eastAsia="x-none"/>
              </w:rPr>
              <w:t>Agreement</w:t>
            </w:r>
          </w:p>
          <w:p w:rsidR="00352FF1" w:rsidRPr="002B690E" w:rsidRDefault="00352FF1" w:rsidP="00352FF1">
            <w:pPr>
              <w:snapToGrid w:val="0"/>
              <w:rPr>
                <w:iCs/>
                <w:sz w:val="20"/>
                <w:szCs w:val="20"/>
              </w:rPr>
            </w:pPr>
            <w:r w:rsidRPr="002B690E">
              <w:rPr>
                <w:iCs/>
                <w:sz w:val="20"/>
                <w:szCs w:val="20"/>
              </w:rPr>
              <w:t>For the Rel-19 CRI-based CSI refinement for up to 128 CSI-RS ports, support resource-specific RI restriction</w:t>
            </w:r>
          </w:p>
          <w:p w:rsidR="00352FF1" w:rsidRPr="002B690E" w:rsidRDefault="00352FF1" w:rsidP="00352FF1">
            <w:pPr>
              <w:rPr>
                <w:iCs/>
                <w:sz w:val="20"/>
                <w:szCs w:val="20"/>
                <w:lang w:eastAsia="x-none"/>
              </w:rPr>
            </w:pPr>
          </w:p>
          <w:p w:rsidR="00352FF1" w:rsidRPr="002B690E" w:rsidRDefault="00352FF1" w:rsidP="00352FF1">
            <w:pPr>
              <w:rPr>
                <w:b/>
                <w:bCs/>
                <w:sz w:val="20"/>
                <w:szCs w:val="20"/>
                <w:highlight w:val="green"/>
                <w:lang w:eastAsia="x-none"/>
              </w:rPr>
            </w:pPr>
            <w:r w:rsidRPr="002B690E">
              <w:rPr>
                <w:b/>
                <w:bCs/>
                <w:sz w:val="20"/>
                <w:szCs w:val="20"/>
                <w:highlight w:val="green"/>
                <w:lang w:eastAsia="x-none"/>
              </w:rPr>
              <w:t>Agreement</w:t>
            </w:r>
          </w:p>
          <w:p w:rsidR="00352FF1" w:rsidRPr="002B690E" w:rsidRDefault="00352FF1" w:rsidP="00352FF1">
            <w:pPr>
              <w:snapToGrid w:val="0"/>
              <w:jc w:val="both"/>
              <w:rPr>
                <w:b/>
                <w:sz w:val="20"/>
                <w:szCs w:val="20"/>
                <w:u w:val="single"/>
              </w:rPr>
            </w:pPr>
            <w:r w:rsidRPr="002B690E">
              <w:rPr>
                <w:iCs/>
                <w:sz w:val="20"/>
                <w:szCs w:val="20"/>
              </w:rPr>
              <w:t>For the Rel-19 CRI-based CSI refinement for up to 128 CSI-RS ports,</w:t>
            </w:r>
            <w:r w:rsidRPr="002B690E">
              <w:rPr>
                <w:rFonts w:eastAsia="Malgun Gothic"/>
                <w:sz w:val="20"/>
                <w:szCs w:val="20"/>
              </w:rPr>
              <w:t xml:space="preserve"> O</w:t>
            </w:r>
            <w:r w:rsidRPr="002B690E">
              <w:rPr>
                <w:rFonts w:eastAsia="Malgun Gothic"/>
                <w:sz w:val="20"/>
                <w:szCs w:val="20"/>
                <w:vertAlign w:val="subscript"/>
              </w:rPr>
              <w:t>CPU</w:t>
            </w:r>
            <w:r w:rsidRPr="002B690E">
              <w:rPr>
                <w:rFonts w:eastAsia="Malgun Gothic"/>
                <w:sz w:val="20"/>
                <w:szCs w:val="20"/>
              </w:rPr>
              <w:t xml:space="preserve"> = K</w:t>
            </w:r>
            <w:r w:rsidRPr="002B690E">
              <w:rPr>
                <w:rFonts w:eastAsia="Malgun Gothic"/>
                <w:sz w:val="20"/>
                <w:szCs w:val="20"/>
                <w:vertAlign w:val="subscript"/>
              </w:rPr>
              <w:t>S</w:t>
            </w:r>
          </w:p>
          <w:p w:rsidR="00352FF1" w:rsidRPr="002B690E" w:rsidRDefault="00352FF1" w:rsidP="00352FF1">
            <w:pPr>
              <w:rPr>
                <w:iCs/>
                <w:sz w:val="20"/>
                <w:szCs w:val="20"/>
                <w:lang w:eastAsia="x-none"/>
              </w:rPr>
            </w:pPr>
          </w:p>
          <w:p w:rsidR="00352FF1" w:rsidRPr="002B690E" w:rsidRDefault="00352FF1" w:rsidP="00352FF1">
            <w:pPr>
              <w:rPr>
                <w:b/>
                <w:bCs/>
                <w:sz w:val="20"/>
                <w:szCs w:val="20"/>
              </w:rPr>
            </w:pPr>
            <w:r w:rsidRPr="002B690E">
              <w:rPr>
                <w:b/>
                <w:bCs/>
                <w:sz w:val="20"/>
                <w:szCs w:val="20"/>
                <w:highlight w:val="green"/>
              </w:rPr>
              <w:lastRenderedPageBreak/>
              <w:t>Agreement</w:t>
            </w:r>
          </w:p>
          <w:p w:rsidR="00352FF1" w:rsidRPr="002B690E" w:rsidRDefault="00352FF1" w:rsidP="00352FF1">
            <w:pPr>
              <w:snapToGrid w:val="0"/>
              <w:jc w:val="both"/>
              <w:rPr>
                <w:iCs/>
                <w:sz w:val="20"/>
                <w:szCs w:val="20"/>
              </w:rPr>
            </w:pPr>
            <w:r w:rsidRPr="002B690E">
              <w:rPr>
                <w:sz w:val="20"/>
                <w:szCs w:val="20"/>
              </w:rPr>
              <w:t xml:space="preserve">For the </w:t>
            </w:r>
            <w:r w:rsidRPr="002B690E">
              <w:rPr>
                <w:iCs/>
                <w:sz w:val="20"/>
                <w:szCs w:val="20"/>
              </w:rPr>
              <w:t xml:space="preserve">Rel-19 Type-I SP codebook refinement for 48, 64, and 128 CSI-RS ports, for Scheme-A RI=5-8, the UCI parameters for the selection scheme for the other </w:t>
            </w:r>
            <m:oMath>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SDBV</m:t>
                  </m:r>
                </m:sub>
              </m:sSub>
            </m:oMath>
            <w:r w:rsidRPr="002B690E">
              <w:rPr>
                <w:iCs/>
                <w:sz w:val="20"/>
                <w:szCs w:val="20"/>
              </w:rPr>
              <w:t xml:space="preserve"> SD basis vectors (in Part 2 UCI, wideband) are as follows:</w:t>
            </w:r>
          </w:p>
          <w:p w:rsidR="00352FF1" w:rsidRPr="002B690E" w:rsidRDefault="00352FF1" w:rsidP="00352FF1">
            <w:pPr>
              <w:numPr>
                <w:ilvl w:val="0"/>
                <w:numId w:val="722"/>
              </w:numPr>
              <w:snapToGrid w:val="0"/>
              <w:rPr>
                <w:sz w:val="20"/>
                <w:szCs w:val="20"/>
              </w:rPr>
            </w:pPr>
            <w:r w:rsidRPr="002B690E">
              <w:rPr>
                <w:sz w:val="20"/>
                <w:szCs w:val="20"/>
              </w:rPr>
              <w:t xml:space="preserve">A </w:t>
            </w:r>
            <w:r w:rsidRPr="002B690E">
              <w:rPr>
                <w:rFonts w:eastAsia="SimSun"/>
                <w:sz w:val="20"/>
                <w:szCs w:val="20"/>
              </w:rPr>
              <w:t>1-bit beam group indicator i</w:t>
            </w:r>
            <w:r w:rsidRPr="002B690E">
              <w:rPr>
                <w:rFonts w:eastAsia="SimSun"/>
                <w:sz w:val="20"/>
                <w:szCs w:val="20"/>
                <w:vertAlign w:val="subscript"/>
              </w:rPr>
              <w:t>3</w:t>
            </w:r>
            <w:r w:rsidRPr="002B690E">
              <w:rPr>
                <w:rFonts w:ascii="Cambria Math" w:eastAsia="SimSun" w:hAnsi="Cambria Math" w:cs="Cambria Math"/>
                <w:sz w:val="20"/>
                <w:szCs w:val="20"/>
              </w:rPr>
              <w:t>∈</w:t>
            </w:r>
            <w:r w:rsidRPr="002B690E">
              <w:rPr>
                <w:rFonts w:eastAsia="SimSun"/>
                <w:sz w:val="20"/>
                <w:szCs w:val="20"/>
              </w:rPr>
              <w:t xml:space="preserve">{0,1} </w:t>
            </w:r>
          </w:p>
          <w:p w:rsidR="00352FF1" w:rsidRPr="002B690E" w:rsidRDefault="00352FF1" w:rsidP="00352FF1">
            <w:pPr>
              <w:numPr>
                <w:ilvl w:val="0"/>
                <w:numId w:val="722"/>
              </w:numPr>
              <w:snapToGrid w:val="0"/>
              <w:rPr>
                <w:sz w:val="20"/>
                <w:szCs w:val="20"/>
              </w:rPr>
            </w:pPr>
            <w:r w:rsidRPr="002B690E">
              <w:rPr>
                <w:rFonts w:eastAsia="SimSun"/>
                <w:sz w:val="20"/>
                <w:szCs w:val="20"/>
              </w:rPr>
              <w:t>F</w:t>
            </w:r>
            <w:r w:rsidRPr="002B690E">
              <w:rPr>
                <w:sz w:val="20"/>
                <w:szCs w:val="20"/>
              </w:rPr>
              <w:t xml:space="preserve">or each of the </w:t>
            </w:r>
            <w:r w:rsidRPr="002B690E">
              <w:rPr>
                <w:i/>
                <w:sz w:val="20"/>
                <w:szCs w:val="20"/>
              </w:rPr>
              <w:t>n</w:t>
            </w:r>
            <w:r w:rsidRPr="002B690E">
              <w:rPr>
                <w:i/>
                <w:sz w:val="20"/>
                <w:szCs w:val="20"/>
                <w:vertAlign w:val="subscript"/>
              </w:rPr>
              <w:t>SDBV</w:t>
            </w:r>
            <w:r w:rsidRPr="002B690E">
              <w:rPr>
                <w:sz w:val="20"/>
                <w:szCs w:val="20"/>
              </w:rPr>
              <w:t xml:space="preserve"> other selected SD basis vectors,</w:t>
            </w:r>
          </w:p>
          <w:p w:rsidR="00352FF1" w:rsidRPr="002B690E" w:rsidRDefault="00352FF1" w:rsidP="00352FF1">
            <w:pPr>
              <w:numPr>
                <w:ilvl w:val="1"/>
                <w:numId w:val="722"/>
              </w:numPr>
              <w:snapToGrid w:val="0"/>
              <w:rPr>
                <w:sz w:val="20"/>
                <w:szCs w:val="20"/>
              </w:rPr>
            </w:pPr>
            <w:r w:rsidRPr="002B690E">
              <w:rPr>
                <w:sz w:val="20"/>
                <w:szCs w:val="20"/>
              </w:rPr>
              <w:t xml:space="preserve">If </w:t>
            </w:r>
            <w:r w:rsidRPr="002B690E">
              <w:rPr>
                <w:rFonts w:eastAsia="SimSun"/>
                <w:sz w:val="20"/>
                <w:szCs w:val="20"/>
              </w:rPr>
              <w:t>i</w:t>
            </w:r>
            <w:r w:rsidRPr="002B690E">
              <w:rPr>
                <w:rFonts w:eastAsia="SimSun"/>
                <w:sz w:val="20"/>
                <w:szCs w:val="20"/>
                <w:vertAlign w:val="subscript"/>
              </w:rPr>
              <w:t>3</w:t>
            </w:r>
            <w:r w:rsidRPr="002B690E">
              <w:rPr>
                <w:rFonts w:eastAsia="SimSun"/>
                <w:sz w:val="20"/>
                <w:szCs w:val="20"/>
              </w:rPr>
              <w:t>=0:</w:t>
            </w:r>
          </w:p>
          <w:p w:rsidR="00352FF1" w:rsidRPr="002B690E" w:rsidRDefault="00000000" w:rsidP="00352FF1">
            <w:pPr>
              <w:numPr>
                <w:ilvl w:val="2"/>
                <w:numId w:val="722"/>
              </w:numPr>
              <w:snapToGrid w:val="0"/>
              <w:rPr>
                <w:sz w:val="20"/>
                <w:szCs w:val="20"/>
              </w:rPr>
            </w:pPr>
            <m:oMath>
              <m:d>
                <m:dPr>
                  <m:begChr m:val="⌈"/>
                  <m:endChr m:val="⌉"/>
                  <m:ctrlPr>
                    <w:rPr>
                      <w:rFonts w:ascii="Cambria Math" w:eastAsia="SimSun" w:hAnsi="Cambria Math"/>
                      <w:i/>
                      <w:sz w:val="20"/>
                      <w:szCs w:val="20"/>
                    </w:rPr>
                  </m:ctrlPr>
                </m:dPr>
                <m:e>
                  <m:func>
                    <m:funcPr>
                      <m:ctrlPr>
                        <w:rPr>
                          <w:rFonts w:ascii="Cambria Math" w:eastAsia="SimSun" w:hAnsi="Cambria Math"/>
                          <w:i/>
                          <w:sz w:val="20"/>
                          <w:szCs w:val="20"/>
                        </w:rPr>
                      </m:ctrlPr>
                    </m:funcPr>
                    <m:fName>
                      <m:sSub>
                        <m:sSubPr>
                          <m:ctrlPr>
                            <w:rPr>
                              <w:rFonts w:ascii="Cambria Math" w:eastAsia="SimSun" w:hAnsi="Cambria Math"/>
                              <w:i/>
                              <w:sz w:val="20"/>
                              <w:szCs w:val="20"/>
                            </w:rPr>
                          </m:ctrlPr>
                        </m:sSubPr>
                        <m:e>
                          <m:r>
                            <m:rPr>
                              <m:sty m:val="p"/>
                            </m:rPr>
                            <w:rPr>
                              <w:rFonts w:ascii="Cambria Math" w:eastAsia="SimSun" w:hAnsi="Cambria Math"/>
                              <w:sz w:val="20"/>
                              <w:szCs w:val="20"/>
                            </w:rPr>
                            <m:t>log</m:t>
                          </m:r>
                        </m:e>
                        <m:sub>
                          <m:r>
                            <w:rPr>
                              <w:rFonts w:ascii="Cambria Math" w:eastAsia="SimSun" w:hAnsi="Cambria Math"/>
                              <w:sz w:val="20"/>
                              <w:szCs w:val="20"/>
                            </w:rPr>
                            <m:t>2</m:t>
                          </m:r>
                        </m:sub>
                      </m:sSub>
                    </m:fName>
                    <m:e>
                      <m:d>
                        <m:dPr>
                          <m:ctrlPr>
                            <w:rPr>
                              <w:rFonts w:ascii="Cambria Math" w:eastAsia="SimSun" w:hAnsi="Cambria Math"/>
                              <w:i/>
                              <w:sz w:val="20"/>
                              <w:szCs w:val="20"/>
                            </w:rPr>
                          </m:ctrlPr>
                        </m:dPr>
                        <m:e>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1</m:t>
                              </m:r>
                            </m:sub>
                          </m:sSub>
                        </m:e>
                      </m:d>
                    </m:e>
                  </m:func>
                </m:e>
              </m:d>
            </m:oMath>
            <w:r w:rsidR="00352FF1" w:rsidRPr="002B690E">
              <w:rPr>
                <w:sz w:val="20"/>
                <w:szCs w:val="20"/>
              </w:rPr>
              <w:t xml:space="preserve">-bit, </w:t>
            </w:r>
            <m:oMath>
              <m:d>
                <m:dPr>
                  <m:begChr m:val="⌈"/>
                  <m:endChr m:val="⌉"/>
                  <m:ctrlPr>
                    <w:rPr>
                      <w:rFonts w:ascii="Cambria Math" w:eastAsia="SimSun" w:hAnsi="Cambria Math"/>
                      <w:i/>
                      <w:sz w:val="20"/>
                      <w:szCs w:val="20"/>
                    </w:rPr>
                  </m:ctrlPr>
                </m:dPr>
                <m:e>
                  <m:func>
                    <m:funcPr>
                      <m:ctrlPr>
                        <w:rPr>
                          <w:rFonts w:ascii="Cambria Math" w:eastAsia="SimSun" w:hAnsi="Cambria Math"/>
                          <w:i/>
                          <w:sz w:val="20"/>
                          <w:szCs w:val="20"/>
                        </w:rPr>
                      </m:ctrlPr>
                    </m:funcPr>
                    <m:fName>
                      <m:sSub>
                        <m:sSubPr>
                          <m:ctrlPr>
                            <w:rPr>
                              <w:rFonts w:ascii="Cambria Math" w:eastAsia="SimSun" w:hAnsi="Cambria Math"/>
                              <w:i/>
                              <w:sz w:val="20"/>
                              <w:szCs w:val="20"/>
                            </w:rPr>
                          </m:ctrlPr>
                        </m:sSubPr>
                        <m:e>
                          <m:r>
                            <m:rPr>
                              <m:sty m:val="p"/>
                            </m:rPr>
                            <w:rPr>
                              <w:rFonts w:ascii="Cambria Math" w:eastAsia="SimSun" w:hAnsi="Cambria Math"/>
                              <w:sz w:val="20"/>
                              <w:szCs w:val="20"/>
                            </w:rPr>
                            <m:t>log</m:t>
                          </m:r>
                        </m:e>
                        <m:sub>
                          <m:r>
                            <w:rPr>
                              <w:rFonts w:ascii="Cambria Math" w:eastAsia="SimSun" w:hAnsi="Cambria Math"/>
                              <w:sz w:val="20"/>
                              <w:szCs w:val="20"/>
                            </w:rPr>
                            <m:t>2</m:t>
                          </m:r>
                        </m:sub>
                      </m:sSub>
                    </m:fName>
                    <m:e>
                      <m:d>
                        <m:dPr>
                          <m:ctrlPr>
                            <w:rPr>
                              <w:rFonts w:ascii="Cambria Math" w:eastAsia="SimSun" w:hAnsi="Cambria Math"/>
                              <w:i/>
                              <w:sz w:val="20"/>
                              <w:szCs w:val="20"/>
                            </w:rPr>
                          </m:ctrlPr>
                        </m:dPr>
                        <m:e>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2</m:t>
                              </m:r>
                            </m:sub>
                          </m:sSub>
                        </m:e>
                      </m:d>
                    </m:e>
                  </m:func>
                </m:e>
              </m:d>
            </m:oMath>
            <w:r w:rsidR="00352FF1" w:rsidRPr="002B690E">
              <w:rPr>
                <w:sz w:val="20"/>
                <w:szCs w:val="20"/>
              </w:rPr>
              <w:t xml:space="preserve">-bit, and </w:t>
            </w:r>
            <m:oMath>
              <m:d>
                <m:dPr>
                  <m:begChr m:val="⌈"/>
                  <m:endChr m:val="⌉"/>
                  <m:ctrlPr>
                    <w:rPr>
                      <w:rFonts w:ascii="Cambria Math" w:eastAsia="SimSun" w:hAnsi="Cambria Math"/>
                      <w:i/>
                      <w:sz w:val="20"/>
                      <w:szCs w:val="20"/>
                    </w:rPr>
                  </m:ctrlPr>
                </m:dPr>
                <m:e>
                  <m:func>
                    <m:funcPr>
                      <m:ctrlPr>
                        <w:rPr>
                          <w:rFonts w:ascii="Cambria Math" w:eastAsia="SimSun" w:hAnsi="Cambria Math"/>
                          <w:i/>
                          <w:sz w:val="20"/>
                          <w:szCs w:val="20"/>
                        </w:rPr>
                      </m:ctrlPr>
                    </m:funcPr>
                    <m:fName>
                      <m:sSub>
                        <m:sSubPr>
                          <m:ctrlPr>
                            <w:rPr>
                              <w:rFonts w:ascii="Cambria Math" w:eastAsia="SimSun" w:hAnsi="Cambria Math"/>
                              <w:i/>
                              <w:sz w:val="20"/>
                              <w:szCs w:val="20"/>
                            </w:rPr>
                          </m:ctrlPr>
                        </m:sSubPr>
                        <m:e>
                          <m:r>
                            <m:rPr>
                              <m:sty m:val="p"/>
                            </m:rPr>
                            <w:rPr>
                              <w:rFonts w:ascii="Cambria Math" w:eastAsia="SimSun" w:hAnsi="Cambria Math"/>
                              <w:sz w:val="20"/>
                              <w:szCs w:val="20"/>
                            </w:rPr>
                            <m:t>log</m:t>
                          </m:r>
                        </m:e>
                        <m:sub>
                          <m:r>
                            <w:rPr>
                              <w:rFonts w:ascii="Cambria Math" w:eastAsia="SimSun" w:hAnsi="Cambria Math"/>
                              <w:sz w:val="20"/>
                              <w:szCs w:val="20"/>
                            </w:rPr>
                            <m:t>2</m:t>
                          </m:r>
                        </m:sub>
                      </m:sSub>
                    </m:fName>
                    <m:e>
                      <m:d>
                        <m:dPr>
                          <m:ctrlPr>
                            <w:rPr>
                              <w:rFonts w:ascii="Cambria Math" w:eastAsia="SimSun" w:hAnsi="Cambria Math"/>
                              <w:i/>
                              <w:sz w:val="20"/>
                              <w:szCs w:val="20"/>
                            </w:rPr>
                          </m:ctrlPr>
                        </m:dPr>
                        <m:e>
                          <m:sSub>
                            <m:sSubPr>
                              <m:ctrlPr>
                                <w:rPr>
                                  <w:rFonts w:ascii="Cambria Math" w:eastAsia="SimSun" w:hAnsi="Cambria Math"/>
                                  <w:i/>
                                  <w:sz w:val="20"/>
                                  <w:szCs w:val="20"/>
                                </w:rPr>
                              </m:ctrlPr>
                            </m:sSubPr>
                            <m:e>
                              <m:r>
                                <w:rPr>
                                  <w:rFonts w:ascii="Cambria Math" w:eastAsia="SimSun" w:hAnsi="Cambria Math"/>
                                  <w:sz w:val="20"/>
                                  <w:szCs w:val="20"/>
                                </w:rPr>
                                <m:t>O</m:t>
                              </m:r>
                            </m:e>
                            <m:sub>
                              <m:r>
                                <w:rPr>
                                  <w:rFonts w:ascii="Cambria Math" w:eastAsia="SimSun" w:hAnsi="Cambria Math"/>
                                  <w:sz w:val="20"/>
                                  <w:szCs w:val="20"/>
                                </w:rPr>
                                <m:t>2</m:t>
                              </m:r>
                            </m:sub>
                          </m:sSub>
                        </m:e>
                      </m:d>
                    </m:e>
                  </m:func>
                </m:e>
              </m:d>
            </m:oMath>
            <w:r w:rsidR="00352FF1" w:rsidRPr="002B690E">
              <w:rPr>
                <w:rFonts w:eastAsia="SimSun"/>
                <w:sz w:val="20"/>
                <w:szCs w:val="20"/>
              </w:rPr>
              <w:t>-bit</w:t>
            </w:r>
            <w:r w:rsidR="00352FF1" w:rsidRPr="002B690E">
              <w:rPr>
                <w:sz w:val="20"/>
                <w:szCs w:val="20"/>
              </w:rPr>
              <w:t xml:space="preserve"> (</w:t>
            </w:r>
            <w:r w:rsidR="00352FF1" w:rsidRPr="002B690E">
              <w:rPr>
                <w:rFonts w:eastAsia="SimSun"/>
                <w:sz w:val="20"/>
                <w:szCs w:val="20"/>
              </w:rPr>
              <w:t>q</w:t>
            </w:r>
            <w:r w:rsidR="00352FF1" w:rsidRPr="002B690E">
              <w:rPr>
                <w:rFonts w:eastAsia="SimSun"/>
                <w:sz w:val="20"/>
                <w:szCs w:val="20"/>
                <w:vertAlign w:val="subscript"/>
              </w:rPr>
              <w:t>2</w:t>
            </w:r>
            <w:r w:rsidR="00352FF1" w:rsidRPr="002B690E">
              <w:rPr>
                <w:sz w:val="20"/>
                <w:szCs w:val="20"/>
              </w:rPr>
              <w:t>) indicators</w:t>
            </w:r>
          </w:p>
          <w:p w:rsidR="00352FF1" w:rsidRPr="002B690E" w:rsidRDefault="00352FF1" w:rsidP="00352FF1">
            <w:pPr>
              <w:numPr>
                <w:ilvl w:val="3"/>
                <w:numId w:val="722"/>
              </w:numPr>
              <w:snapToGrid w:val="0"/>
              <w:rPr>
                <w:sz w:val="20"/>
                <w:szCs w:val="20"/>
              </w:rPr>
            </w:pPr>
            <w:r w:rsidRPr="002B690E">
              <w:rPr>
                <w:rFonts w:eastAsia="SimSun"/>
                <w:sz w:val="20"/>
                <w:szCs w:val="20"/>
              </w:rPr>
              <w:t>In this case, q</w:t>
            </w:r>
            <w:r w:rsidRPr="002B690E">
              <w:rPr>
                <w:rFonts w:eastAsia="SimSun"/>
                <w:sz w:val="20"/>
                <w:szCs w:val="20"/>
                <w:vertAlign w:val="subscript"/>
              </w:rPr>
              <w:t>1</w:t>
            </w:r>
            <w:r w:rsidRPr="002B690E">
              <w:rPr>
                <w:rFonts w:eastAsia="SimSun"/>
                <w:sz w:val="20"/>
                <w:szCs w:val="20"/>
              </w:rPr>
              <w:t xml:space="preserve"> = mod(i</w:t>
            </w:r>
            <w:r w:rsidRPr="002B690E">
              <w:rPr>
                <w:rFonts w:eastAsia="SimSun"/>
                <w:sz w:val="20"/>
                <w:szCs w:val="20"/>
                <w:vertAlign w:val="subscript"/>
              </w:rPr>
              <w:t>1</w:t>
            </w:r>
            <w:r w:rsidRPr="002B690E">
              <w:rPr>
                <w:rFonts w:eastAsia="SimSun"/>
                <w:sz w:val="20"/>
                <w:szCs w:val="20"/>
              </w:rPr>
              <w:t>,O</w:t>
            </w:r>
            <w:r w:rsidRPr="002B690E">
              <w:rPr>
                <w:rFonts w:eastAsia="SimSun"/>
                <w:sz w:val="20"/>
                <w:szCs w:val="20"/>
                <w:vertAlign w:val="subscript"/>
              </w:rPr>
              <w:t>1</w:t>
            </w:r>
            <w:r w:rsidRPr="002B690E">
              <w:rPr>
                <w:rFonts w:eastAsia="SimSun"/>
                <w:sz w:val="20"/>
                <w:szCs w:val="20"/>
              </w:rPr>
              <w:t xml:space="preserve">) of the first SD basis vector </w:t>
            </w:r>
          </w:p>
          <w:p w:rsidR="00352FF1" w:rsidRPr="002B690E" w:rsidRDefault="00352FF1" w:rsidP="00352FF1">
            <w:pPr>
              <w:numPr>
                <w:ilvl w:val="1"/>
                <w:numId w:val="722"/>
              </w:numPr>
              <w:snapToGrid w:val="0"/>
              <w:rPr>
                <w:sz w:val="20"/>
                <w:szCs w:val="20"/>
              </w:rPr>
            </w:pPr>
            <w:r w:rsidRPr="002B690E">
              <w:rPr>
                <w:sz w:val="20"/>
                <w:szCs w:val="20"/>
              </w:rPr>
              <w:t xml:space="preserve">If </w:t>
            </w:r>
            <w:r w:rsidRPr="002B690E">
              <w:rPr>
                <w:rFonts w:eastAsia="SimSun"/>
                <w:sz w:val="20"/>
                <w:szCs w:val="20"/>
              </w:rPr>
              <w:t>i</w:t>
            </w:r>
            <w:r w:rsidRPr="002B690E">
              <w:rPr>
                <w:rFonts w:eastAsia="SimSun"/>
                <w:sz w:val="20"/>
                <w:szCs w:val="20"/>
                <w:vertAlign w:val="subscript"/>
              </w:rPr>
              <w:t>3</w:t>
            </w:r>
            <w:r w:rsidRPr="002B690E">
              <w:rPr>
                <w:rFonts w:eastAsia="SimSun"/>
                <w:sz w:val="20"/>
                <w:szCs w:val="20"/>
              </w:rPr>
              <w:t>=1:</w:t>
            </w:r>
          </w:p>
          <w:p w:rsidR="00352FF1" w:rsidRPr="002B690E" w:rsidRDefault="00000000" w:rsidP="00352FF1">
            <w:pPr>
              <w:numPr>
                <w:ilvl w:val="2"/>
                <w:numId w:val="722"/>
              </w:numPr>
              <w:snapToGrid w:val="0"/>
              <w:rPr>
                <w:sz w:val="20"/>
                <w:szCs w:val="20"/>
              </w:rPr>
            </w:pPr>
            <m:oMath>
              <m:d>
                <m:dPr>
                  <m:begChr m:val="⌈"/>
                  <m:endChr m:val="⌉"/>
                  <m:ctrlPr>
                    <w:rPr>
                      <w:rFonts w:ascii="Cambria Math" w:eastAsia="SimSun" w:hAnsi="Cambria Math"/>
                      <w:i/>
                      <w:sz w:val="20"/>
                      <w:szCs w:val="20"/>
                    </w:rPr>
                  </m:ctrlPr>
                </m:dPr>
                <m:e>
                  <m:func>
                    <m:funcPr>
                      <m:ctrlPr>
                        <w:rPr>
                          <w:rFonts w:ascii="Cambria Math" w:eastAsia="SimSun" w:hAnsi="Cambria Math"/>
                          <w:i/>
                          <w:sz w:val="20"/>
                          <w:szCs w:val="20"/>
                        </w:rPr>
                      </m:ctrlPr>
                    </m:funcPr>
                    <m:fName>
                      <m:sSub>
                        <m:sSubPr>
                          <m:ctrlPr>
                            <w:rPr>
                              <w:rFonts w:ascii="Cambria Math" w:eastAsia="SimSun" w:hAnsi="Cambria Math"/>
                              <w:i/>
                              <w:sz w:val="20"/>
                              <w:szCs w:val="20"/>
                            </w:rPr>
                          </m:ctrlPr>
                        </m:sSubPr>
                        <m:e>
                          <m:r>
                            <m:rPr>
                              <m:sty m:val="p"/>
                            </m:rPr>
                            <w:rPr>
                              <w:rFonts w:ascii="Cambria Math" w:eastAsia="SimSun" w:hAnsi="Cambria Math"/>
                              <w:sz w:val="20"/>
                              <w:szCs w:val="20"/>
                            </w:rPr>
                            <m:t>log</m:t>
                          </m:r>
                        </m:e>
                        <m:sub>
                          <m:r>
                            <w:rPr>
                              <w:rFonts w:ascii="Cambria Math" w:eastAsia="SimSun" w:hAnsi="Cambria Math"/>
                              <w:sz w:val="20"/>
                              <w:szCs w:val="20"/>
                            </w:rPr>
                            <m:t>2</m:t>
                          </m:r>
                        </m:sub>
                      </m:sSub>
                    </m:fName>
                    <m:e>
                      <m:d>
                        <m:dPr>
                          <m:ctrlPr>
                            <w:rPr>
                              <w:rFonts w:ascii="Cambria Math" w:eastAsia="SimSun" w:hAnsi="Cambria Math"/>
                              <w:i/>
                              <w:sz w:val="20"/>
                              <w:szCs w:val="20"/>
                            </w:rPr>
                          </m:ctrlPr>
                        </m:dPr>
                        <m:e>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1</m:t>
                              </m:r>
                            </m:sub>
                          </m:sSub>
                        </m:e>
                      </m:d>
                    </m:e>
                  </m:func>
                </m:e>
              </m:d>
            </m:oMath>
            <w:r w:rsidR="00352FF1" w:rsidRPr="002B690E">
              <w:rPr>
                <w:sz w:val="20"/>
                <w:szCs w:val="20"/>
              </w:rPr>
              <w:t xml:space="preserve">-bit, </w:t>
            </w:r>
            <m:oMath>
              <m:d>
                <m:dPr>
                  <m:begChr m:val="⌈"/>
                  <m:endChr m:val="⌉"/>
                  <m:ctrlPr>
                    <w:rPr>
                      <w:rFonts w:ascii="Cambria Math" w:eastAsia="SimSun" w:hAnsi="Cambria Math"/>
                      <w:i/>
                      <w:sz w:val="20"/>
                      <w:szCs w:val="20"/>
                    </w:rPr>
                  </m:ctrlPr>
                </m:dPr>
                <m:e>
                  <m:func>
                    <m:funcPr>
                      <m:ctrlPr>
                        <w:rPr>
                          <w:rFonts w:ascii="Cambria Math" w:eastAsia="SimSun" w:hAnsi="Cambria Math"/>
                          <w:i/>
                          <w:sz w:val="20"/>
                          <w:szCs w:val="20"/>
                        </w:rPr>
                      </m:ctrlPr>
                    </m:funcPr>
                    <m:fName>
                      <m:sSub>
                        <m:sSubPr>
                          <m:ctrlPr>
                            <w:rPr>
                              <w:rFonts w:ascii="Cambria Math" w:eastAsia="SimSun" w:hAnsi="Cambria Math"/>
                              <w:i/>
                              <w:sz w:val="20"/>
                              <w:szCs w:val="20"/>
                            </w:rPr>
                          </m:ctrlPr>
                        </m:sSubPr>
                        <m:e>
                          <m:r>
                            <m:rPr>
                              <m:sty m:val="p"/>
                            </m:rPr>
                            <w:rPr>
                              <w:rFonts w:ascii="Cambria Math" w:eastAsia="SimSun" w:hAnsi="Cambria Math"/>
                              <w:sz w:val="20"/>
                              <w:szCs w:val="20"/>
                            </w:rPr>
                            <m:t>log</m:t>
                          </m:r>
                        </m:e>
                        <m:sub>
                          <m:r>
                            <w:rPr>
                              <w:rFonts w:ascii="Cambria Math" w:eastAsia="SimSun" w:hAnsi="Cambria Math"/>
                              <w:sz w:val="20"/>
                              <w:szCs w:val="20"/>
                            </w:rPr>
                            <m:t>2</m:t>
                          </m:r>
                        </m:sub>
                      </m:sSub>
                    </m:fName>
                    <m:e>
                      <m:d>
                        <m:dPr>
                          <m:ctrlPr>
                            <w:rPr>
                              <w:rFonts w:ascii="Cambria Math" w:eastAsia="SimSun" w:hAnsi="Cambria Math"/>
                              <w:i/>
                              <w:sz w:val="20"/>
                              <w:szCs w:val="20"/>
                            </w:rPr>
                          </m:ctrlPr>
                        </m:dPr>
                        <m:e>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2</m:t>
                              </m:r>
                            </m:sub>
                          </m:sSub>
                        </m:e>
                      </m:d>
                    </m:e>
                  </m:func>
                </m:e>
              </m:d>
            </m:oMath>
            <w:r w:rsidR="00352FF1" w:rsidRPr="002B690E">
              <w:rPr>
                <w:sz w:val="20"/>
                <w:szCs w:val="20"/>
              </w:rPr>
              <w:t xml:space="preserve">-bit, and </w:t>
            </w:r>
            <m:oMath>
              <m:d>
                <m:dPr>
                  <m:begChr m:val="⌈"/>
                  <m:endChr m:val="⌉"/>
                  <m:ctrlPr>
                    <w:rPr>
                      <w:rFonts w:ascii="Cambria Math" w:eastAsia="SimSun" w:hAnsi="Cambria Math"/>
                      <w:i/>
                      <w:sz w:val="20"/>
                      <w:szCs w:val="20"/>
                    </w:rPr>
                  </m:ctrlPr>
                </m:dPr>
                <m:e>
                  <m:func>
                    <m:funcPr>
                      <m:ctrlPr>
                        <w:rPr>
                          <w:rFonts w:ascii="Cambria Math" w:eastAsia="SimSun" w:hAnsi="Cambria Math"/>
                          <w:i/>
                          <w:sz w:val="20"/>
                          <w:szCs w:val="20"/>
                        </w:rPr>
                      </m:ctrlPr>
                    </m:funcPr>
                    <m:fName>
                      <m:sSub>
                        <m:sSubPr>
                          <m:ctrlPr>
                            <w:rPr>
                              <w:rFonts w:ascii="Cambria Math" w:eastAsia="SimSun" w:hAnsi="Cambria Math"/>
                              <w:i/>
                              <w:sz w:val="20"/>
                              <w:szCs w:val="20"/>
                            </w:rPr>
                          </m:ctrlPr>
                        </m:sSubPr>
                        <m:e>
                          <m:r>
                            <m:rPr>
                              <m:sty m:val="p"/>
                            </m:rPr>
                            <w:rPr>
                              <w:rFonts w:ascii="Cambria Math" w:eastAsia="SimSun" w:hAnsi="Cambria Math"/>
                              <w:sz w:val="20"/>
                              <w:szCs w:val="20"/>
                            </w:rPr>
                            <m:t>log</m:t>
                          </m:r>
                        </m:e>
                        <m:sub>
                          <m:r>
                            <w:rPr>
                              <w:rFonts w:ascii="Cambria Math" w:eastAsia="SimSun" w:hAnsi="Cambria Math"/>
                              <w:sz w:val="20"/>
                              <w:szCs w:val="20"/>
                            </w:rPr>
                            <m:t>2</m:t>
                          </m:r>
                        </m:sub>
                      </m:sSub>
                    </m:fName>
                    <m:e>
                      <m:d>
                        <m:dPr>
                          <m:ctrlPr>
                            <w:rPr>
                              <w:rFonts w:ascii="Cambria Math" w:eastAsia="SimSun" w:hAnsi="Cambria Math"/>
                              <w:i/>
                              <w:sz w:val="20"/>
                              <w:szCs w:val="20"/>
                            </w:rPr>
                          </m:ctrlPr>
                        </m:dPr>
                        <m:e>
                          <m:sSub>
                            <m:sSubPr>
                              <m:ctrlPr>
                                <w:rPr>
                                  <w:rFonts w:ascii="Cambria Math" w:eastAsia="SimSun" w:hAnsi="Cambria Math"/>
                                  <w:i/>
                                  <w:sz w:val="20"/>
                                  <w:szCs w:val="20"/>
                                </w:rPr>
                              </m:ctrlPr>
                            </m:sSubPr>
                            <m:e>
                              <m:r>
                                <w:rPr>
                                  <w:rFonts w:ascii="Cambria Math" w:eastAsia="SimSun" w:hAnsi="Cambria Math"/>
                                  <w:sz w:val="20"/>
                                  <w:szCs w:val="20"/>
                                </w:rPr>
                                <m:t>O</m:t>
                              </m:r>
                            </m:e>
                            <m:sub>
                              <m:r>
                                <w:rPr>
                                  <w:rFonts w:ascii="Cambria Math" w:eastAsia="SimSun" w:hAnsi="Cambria Math"/>
                                  <w:sz w:val="20"/>
                                  <w:szCs w:val="20"/>
                                </w:rPr>
                                <m:t>1</m:t>
                              </m:r>
                            </m:sub>
                          </m:sSub>
                        </m:e>
                      </m:d>
                    </m:e>
                  </m:func>
                </m:e>
              </m:d>
            </m:oMath>
            <w:r w:rsidR="00352FF1" w:rsidRPr="002B690E">
              <w:rPr>
                <w:sz w:val="20"/>
                <w:szCs w:val="20"/>
              </w:rPr>
              <w:t>-bit (</w:t>
            </w:r>
            <w:r w:rsidR="00352FF1" w:rsidRPr="002B690E">
              <w:rPr>
                <w:rFonts w:eastAsia="SimSun"/>
                <w:sz w:val="20"/>
                <w:szCs w:val="20"/>
              </w:rPr>
              <w:t>q</w:t>
            </w:r>
            <w:r w:rsidR="00352FF1" w:rsidRPr="002B690E">
              <w:rPr>
                <w:rFonts w:eastAsia="SimSun"/>
                <w:sz w:val="20"/>
                <w:szCs w:val="20"/>
                <w:vertAlign w:val="subscript"/>
              </w:rPr>
              <w:t>1</w:t>
            </w:r>
            <w:r w:rsidR="00352FF1" w:rsidRPr="002B690E">
              <w:rPr>
                <w:sz w:val="20"/>
                <w:szCs w:val="20"/>
              </w:rPr>
              <w:t>) indicators</w:t>
            </w:r>
            <w:r w:rsidR="00352FF1" w:rsidRPr="002B690E">
              <w:rPr>
                <w:rFonts w:eastAsia="SimSun"/>
                <w:sz w:val="20"/>
                <w:szCs w:val="20"/>
              </w:rPr>
              <w:t xml:space="preserve"> </w:t>
            </w:r>
          </w:p>
          <w:p w:rsidR="00352FF1" w:rsidRPr="002B690E" w:rsidRDefault="00352FF1" w:rsidP="00352FF1">
            <w:pPr>
              <w:numPr>
                <w:ilvl w:val="3"/>
                <w:numId w:val="722"/>
              </w:numPr>
              <w:snapToGrid w:val="0"/>
              <w:rPr>
                <w:sz w:val="20"/>
                <w:szCs w:val="20"/>
              </w:rPr>
            </w:pPr>
            <w:r w:rsidRPr="002B690E">
              <w:rPr>
                <w:rFonts w:eastAsia="SimSun"/>
                <w:sz w:val="20"/>
                <w:szCs w:val="20"/>
              </w:rPr>
              <w:t>In this case, q</w:t>
            </w:r>
            <w:r w:rsidRPr="002B690E">
              <w:rPr>
                <w:rFonts w:eastAsia="SimSun"/>
                <w:sz w:val="20"/>
                <w:szCs w:val="20"/>
                <w:vertAlign w:val="subscript"/>
              </w:rPr>
              <w:t xml:space="preserve">2 </w:t>
            </w:r>
            <w:r w:rsidRPr="002B690E">
              <w:rPr>
                <w:rFonts w:eastAsia="SimSun"/>
                <w:sz w:val="20"/>
                <w:szCs w:val="20"/>
              </w:rPr>
              <w:t>= mod(i</w:t>
            </w:r>
            <w:r w:rsidRPr="002B690E">
              <w:rPr>
                <w:rFonts w:eastAsia="SimSun"/>
                <w:sz w:val="20"/>
                <w:szCs w:val="20"/>
                <w:vertAlign w:val="subscript"/>
              </w:rPr>
              <w:t>2</w:t>
            </w:r>
            <w:r w:rsidRPr="002B690E">
              <w:rPr>
                <w:rFonts w:eastAsia="SimSun"/>
                <w:sz w:val="20"/>
                <w:szCs w:val="20"/>
              </w:rPr>
              <w:t>,O</w:t>
            </w:r>
            <w:r w:rsidRPr="002B690E">
              <w:rPr>
                <w:rFonts w:eastAsia="SimSun"/>
                <w:sz w:val="20"/>
                <w:szCs w:val="20"/>
                <w:vertAlign w:val="subscript"/>
              </w:rPr>
              <w:t>2</w:t>
            </w:r>
            <w:r w:rsidRPr="002B690E">
              <w:rPr>
                <w:rFonts w:eastAsia="SimSun"/>
                <w:sz w:val="20"/>
                <w:szCs w:val="20"/>
              </w:rPr>
              <w:t>) of the first SD basis vector</w:t>
            </w:r>
          </w:p>
          <w:p w:rsidR="00352FF1" w:rsidRPr="002B690E" w:rsidRDefault="00352FF1" w:rsidP="00352FF1">
            <w:pPr>
              <w:snapToGrid w:val="0"/>
              <w:ind w:left="720"/>
              <w:rPr>
                <w:sz w:val="20"/>
                <w:szCs w:val="20"/>
              </w:rPr>
            </w:pPr>
            <w:r w:rsidRPr="002B690E">
              <w:rPr>
                <w:sz w:val="20"/>
                <w:szCs w:val="20"/>
              </w:rPr>
              <w:t xml:space="preserve">Note: It is up to the editor how this is captured in the specification </w:t>
            </w:r>
          </w:p>
          <w:p w:rsidR="00352FF1" w:rsidRPr="002B690E" w:rsidRDefault="00352FF1" w:rsidP="00352FF1">
            <w:pPr>
              <w:snapToGrid w:val="0"/>
              <w:ind w:left="720"/>
              <w:rPr>
                <w:sz w:val="20"/>
                <w:szCs w:val="20"/>
              </w:rPr>
            </w:pPr>
            <w:r w:rsidRPr="002B690E">
              <w:rPr>
                <w:sz w:val="20"/>
                <w:szCs w:val="20"/>
              </w:rPr>
              <w:t>Note: (q</w:t>
            </w:r>
            <w:r w:rsidRPr="002B690E">
              <w:rPr>
                <w:sz w:val="20"/>
                <w:szCs w:val="20"/>
                <w:vertAlign w:val="subscript"/>
              </w:rPr>
              <w:t>1</w:t>
            </w:r>
            <w:r w:rsidRPr="002B690E">
              <w:rPr>
                <w:sz w:val="20"/>
                <w:szCs w:val="20"/>
              </w:rPr>
              <w:t>,q</w:t>
            </w:r>
            <w:r w:rsidRPr="002B690E">
              <w:rPr>
                <w:sz w:val="20"/>
                <w:szCs w:val="20"/>
                <w:vertAlign w:val="subscript"/>
              </w:rPr>
              <w:t>2</w:t>
            </w:r>
            <w:r w:rsidRPr="002B690E">
              <w:rPr>
                <w:sz w:val="20"/>
                <w:szCs w:val="20"/>
              </w:rPr>
              <w:t>) is analogous to (q</w:t>
            </w:r>
            <w:r w:rsidRPr="002B690E">
              <w:rPr>
                <w:sz w:val="20"/>
                <w:szCs w:val="20"/>
                <w:vertAlign w:val="subscript"/>
              </w:rPr>
              <w:t>1</w:t>
            </w:r>
            <w:r w:rsidRPr="002B690E">
              <w:rPr>
                <w:sz w:val="20"/>
                <w:szCs w:val="20"/>
              </w:rPr>
              <w:t>,q</w:t>
            </w:r>
            <w:r w:rsidRPr="002B690E">
              <w:rPr>
                <w:sz w:val="20"/>
                <w:szCs w:val="20"/>
                <w:vertAlign w:val="subscript"/>
              </w:rPr>
              <w:t>2</w:t>
            </w:r>
            <w:r w:rsidRPr="002B690E">
              <w:rPr>
                <w:sz w:val="20"/>
                <w:szCs w:val="20"/>
              </w:rPr>
              <w:t>) for Type-II CSI</w:t>
            </w:r>
          </w:p>
          <w:p w:rsidR="00352FF1" w:rsidRPr="002B690E" w:rsidRDefault="00352FF1" w:rsidP="00352FF1">
            <w:pPr>
              <w:snapToGrid w:val="0"/>
              <w:jc w:val="both"/>
              <w:rPr>
                <w:sz w:val="20"/>
                <w:szCs w:val="20"/>
              </w:rPr>
            </w:pPr>
            <w:r w:rsidRPr="002B690E">
              <w:rPr>
                <w:sz w:val="20"/>
                <w:szCs w:val="20"/>
              </w:rPr>
              <w:t xml:space="preserve">Note (from previous agreement): </w:t>
            </w:r>
            <w:r w:rsidRPr="002B690E">
              <w:rPr>
                <w:i/>
                <w:sz w:val="20"/>
                <w:szCs w:val="20"/>
              </w:rPr>
              <w:t>n</w:t>
            </w:r>
            <w:r w:rsidRPr="002B690E">
              <w:rPr>
                <w:i/>
                <w:sz w:val="20"/>
                <w:szCs w:val="20"/>
                <w:vertAlign w:val="subscript"/>
              </w:rPr>
              <w:t>SDBV</w:t>
            </w:r>
            <w:r w:rsidRPr="002B690E">
              <w:rPr>
                <w:sz w:val="20"/>
                <w:szCs w:val="20"/>
              </w:rPr>
              <w:t>=2 (</w:t>
            </w:r>
            <w:r w:rsidRPr="002B690E">
              <w:rPr>
                <w:i/>
                <w:sz w:val="20"/>
                <w:szCs w:val="20"/>
              </w:rPr>
              <w:t>v</w:t>
            </w:r>
            <w:r w:rsidRPr="002B690E">
              <w:rPr>
                <w:sz w:val="20"/>
                <w:szCs w:val="20"/>
              </w:rPr>
              <w:t>=5-6) or 3 (</w:t>
            </w:r>
            <w:r w:rsidRPr="002B690E">
              <w:rPr>
                <w:i/>
                <w:sz w:val="20"/>
                <w:szCs w:val="20"/>
              </w:rPr>
              <w:t>v</w:t>
            </w:r>
            <w:r w:rsidRPr="002B690E">
              <w:rPr>
                <w:sz w:val="20"/>
                <w:szCs w:val="20"/>
              </w:rPr>
              <w:t>=7-8)</w:t>
            </w:r>
          </w:p>
          <w:p w:rsidR="00352FF1" w:rsidRPr="002B690E" w:rsidRDefault="00352FF1" w:rsidP="00352FF1">
            <w:pPr>
              <w:jc w:val="both"/>
              <w:rPr>
                <w:rFonts w:eastAsia="DengXian"/>
                <w:b/>
                <w:bCs/>
                <w:sz w:val="20"/>
                <w:szCs w:val="20"/>
                <w:highlight w:val="green"/>
              </w:rPr>
            </w:pPr>
          </w:p>
          <w:p w:rsidR="00352FF1" w:rsidRPr="002B690E" w:rsidRDefault="00352FF1" w:rsidP="00352FF1">
            <w:pPr>
              <w:jc w:val="both"/>
              <w:rPr>
                <w:rFonts w:eastAsia="DengXian"/>
                <w:b/>
                <w:bCs/>
                <w:sz w:val="20"/>
                <w:szCs w:val="20"/>
                <w:highlight w:val="green"/>
              </w:rPr>
            </w:pPr>
          </w:p>
          <w:p w:rsidR="00352FF1" w:rsidRPr="002B690E" w:rsidRDefault="00352FF1" w:rsidP="00352FF1">
            <w:pPr>
              <w:rPr>
                <w:b/>
                <w:bCs/>
                <w:sz w:val="20"/>
                <w:szCs w:val="20"/>
              </w:rPr>
            </w:pPr>
            <w:r w:rsidRPr="002B690E">
              <w:rPr>
                <w:b/>
                <w:bCs/>
                <w:sz w:val="20"/>
                <w:szCs w:val="20"/>
                <w:highlight w:val="green"/>
              </w:rPr>
              <w:t>Agreement</w:t>
            </w:r>
          </w:p>
          <w:p w:rsidR="00352FF1" w:rsidRPr="002B690E" w:rsidRDefault="00352FF1" w:rsidP="00352FF1">
            <w:pPr>
              <w:snapToGrid w:val="0"/>
              <w:rPr>
                <w:rFonts w:eastAsia="Malgun Gothic"/>
                <w:sz w:val="20"/>
                <w:szCs w:val="20"/>
                <w:lang w:eastAsia="ko-KR"/>
              </w:rPr>
            </w:pPr>
            <w:r w:rsidRPr="002B690E">
              <w:rPr>
                <w:rFonts w:eastAsia="Malgun Gothic"/>
                <w:sz w:val="20"/>
                <w:szCs w:val="20"/>
                <w:lang w:eastAsia="ko-KR"/>
              </w:rPr>
              <w:t xml:space="preserve">For the Rel-19 CRI-based CSI refinement for up to 128 CSI-RS ports, regarding UCI omission for the UCI reported </w:t>
            </w:r>
            <w:r w:rsidRPr="002B690E">
              <w:rPr>
                <w:rFonts w:eastAsia="Malgun Gothic"/>
                <w:i/>
                <w:sz w:val="20"/>
                <w:szCs w:val="20"/>
                <w:lang w:eastAsia="ko-KR"/>
              </w:rPr>
              <w:t xml:space="preserve">in CSI part-1, </w:t>
            </w:r>
            <w:r w:rsidRPr="002B690E">
              <w:rPr>
                <w:iCs/>
                <w:sz w:val="20"/>
                <w:szCs w:val="20"/>
              </w:rPr>
              <w:t>CSI part-1 is either reported entirely or dropped entirely, with the following UCI packing order:</w:t>
            </w:r>
          </w:p>
          <w:p w:rsidR="00352FF1" w:rsidRPr="002B690E" w:rsidRDefault="00352FF1" w:rsidP="00352FF1">
            <w:pPr>
              <w:pStyle w:val="ListParagraph"/>
              <w:numPr>
                <w:ilvl w:val="0"/>
                <w:numId w:val="1016"/>
              </w:numPr>
              <w:snapToGrid w:val="0"/>
              <w:ind w:leftChars="0" w:left="400" w:hanging="400"/>
              <w:rPr>
                <w:rFonts w:ascii="Times New Roman" w:eastAsia="Malgun Gothic" w:hAnsi="Times New Roman"/>
                <w:iCs/>
                <w:color w:val="000000"/>
                <w:szCs w:val="20"/>
                <w:lang w:eastAsia="zh-CN"/>
              </w:rPr>
            </w:pPr>
            <w:r w:rsidRPr="002B690E">
              <w:rPr>
                <w:rFonts w:ascii="Times New Roman" w:hAnsi="Times New Roman"/>
                <w:color w:val="000000"/>
                <w:szCs w:val="20"/>
                <w:lang w:eastAsia="ko-KR"/>
              </w:rPr>
              <w:t xml:space="preserve">CSI part-1 </w:t>
            </w:r>
            <w:r w:rsidRPr="002B690E">
              <w:rPr>
                <w:rFonts w:ascii="Times New Roman" w:hAnsi="Times New Roman"/>
                <w:color w:val="000000"/>
                <w:szCs w:val="20"/>
              </w:rPr>
              <w:t>associated with the first configured CMR among the non-reported M</w:t>
            </w:r>
            <w:r w:rsidRPr="002B690E">
              <w:rPr>
                <w:rFonts w:ascii="Times New Roman" w:hAnsi="Times New Roman"/>
                <w:color w:val="000000"/>
                <w:szCs w:val="20"/>
                <w:vertAlign w:val="subscript"/>
              </w:rPr>
              <w:t>R</w:t>
            </w:r>
            <w:r w:rsidRPr="002B690E">
              <w:rPr>
                <w:rFonts w:ascii="Times New Roman" w:hAnsi="Times New Roman"/>
                <w:color w:val="000000"/>
                <w:szCs w:val="20"/>
              </w:rPr>
              <w:t> CRIs</w:t>
            </w:r>
            <w:r w:rsidRPr="002B690E">
              <w:rPr>
                <w:rFonts w:ascii="Times New Roman" w:hAnsi="Times New Roman"/>
                <w:color w:val="000000"/>
                <w:szCs w:val="20"/>
                <w:lang w:eastAsia="ko-KR"/>
              </w:rPr>
              <w:t xml:space="preserve"> </w:t>
            </w:r>
          </w:p>
          <w:p w:rsidR="00352FF1" w:rsidRPr="002B690E" w:rsidRDefault="00352FF1" w:rsidP="00352FF1">
            <w:pPr>
              <w:pStyle w:val="ListParagraph"/>
              <w:numPr>
                <w:ilvl w:val="0"/>
                <w:numId w:val="1016"/>
              </w:numPr>
              <w:snapToGrid w:val="0"/>
              <w:ind w:leftChars="0" w:left="400" w:hanging="400"/>
              <w:rPr>
                <w:rFonts w:ascii="Times New Roman" w:eastAsia="Malgun Gothic" w:hAnsi="Times New Roman"/>
                <w:iCs/>
                <w:color w:val="000000"/>
                <w:szCs w:val="20"/>
                <w:lang w:eastAsia="zh-CN"/>
              </w:rPr>
            </w:pPr>
            <w:r w:rsidRPr="002B690E">
              <w:rPr>
                <w:rFonts w:ascii="Times New Roman" w:eastAsia="Malgun Gothic" w:hAnsi="Times New Roman"/>
                <w:iCs/>
                <w:color w:val="000000"/>
                <w:szCs w:val="20"/>
                <w:lang w:eastAsia="zh-CN"/>
              </w:rPr>
              <w:t>…</w:t>
            </w:r>
          </w:p>
          <w:p w:rsidR="00352FF1" w:rsidRPr="002B690E" w:rsidRDefault="00352FF1" w:rsidP="00352FF1">
            <w:pPr>
              <w:pStyle w:val="ListParagraph"/>
              <w:numPr>
                <w:ilvl w:val="0"/>
                <w:numId w:val="1016"/>
              </w:numPr>
              <w:snapToGrid w:val="0"/>
              <w:ind w:leftChars="0" w:left="400" w:hanging="400"/>
              <w:rPr>
                <w:rFonts w:ascii="Times New Roman" w:eastAsia="Malgun Gothic" w:hAnsi="Times New Roman"/>
                <w:iCs/>
                <w:color w:val="000000"/>
                <w:szCs w:val="20"/>
                <w:lang w:eastAsia="zh-CN"/>
              </w:rPr>
            </w:pPr>
            <w:r w:rsidRPr="002B690E">
              <w:rPr>
                <w:rFonts w:ascii="Times New Roman" w:hAnsi="Times New Roman"/>
                <w:color w:val="000000"/>
                <w:szCs w:val="20"/>
                <w:lang w:eastAsia="ko-KR"/>
              </w:rPr>
              <w:t xml:space="preserve">CSI part-1 </w:t>
            </w:r>
            <w:r w:rsidRPr="002B690E">
              <w:rPr>
                <w:rFonts w:ascii="Times New Roman" w:hAnsi="Times New Roman"/>
                <w:color w:val="000000"/>
                <w:szCs w:val="20"/>
              </w:rPr>
              <w:t>associated with the </w:t>
            </w:r>
            <w:r w:rsidRPr="002B690E">
              <w:rPr>
                <w:rFonts w:ascii="Times New Roman" w:hAnsi="Times New Roman"/>
                <w:color w:val="000000"/>
                <w:szCs w:val="20"/>
                <w:lang w:eastAsia="zh-CN"/>
              </w:rPr>
              <w:t>last</w:t>
            </w:r>
            <w:r w:rsidRPr="002B690E">
              <w:rPr>
                <w:rFonts w:ascii="Times New Roman" w:hAnsi="Times New Roman"/>
                <w:color w:val="000000"/>
                <w:szCs w:val="20"/>
              </w:rPr>
              <w:t xml:space="preserve"> configured CMR among the non-reported M</w:t>
            </w:r>
            <w:r w:rsidRPr="002B690E">
              <w:rPr>
                <w:rFonts w:ascii="Times New Roman" w:hAnsi="Times New Roman"/>
                <w:color w:val="000000"/>
                <w:szCs w:val="20"/>
                <w:vertAlign w:val="subscript"/>
              </w:rPr>
              <w:t>R</w:t>
            </w:r>
            <w:r w:rsidRPr="002B690E">
              <w:rPr>
                <w:rFonts w:ascii="Times New Roman" w:hAnsi="Times New Roman"/>
                <w:color w:val="000000"/>
                <w:szCs w:val="20"/>
              </w:rPr>
              <w:t> CRIs</w:t>
            </w:r>
            <w:r w:rsidRPr="002B690E">
              <w:rPr>
                <w:rFonts w:ascii="Times New Roman" w:hAnsi="Times New Roman"/>
                <w:color w:val="000000"/>
                <w:szCs w:val="20"/>
                <w:lang w:eastAsia="ko-KR"/>
              </w:rPr>
              <w:t xml:space="preserve"> </w:t>
            </w:r>
          </w:p>
          <w:p w:rsidR="00352FF1" w:rsidRPr="002B690E" w:rsidRDefault="00352FF1" w:rsidP="00352FF1">
            <w:pPr>
              <w:pStyle w:val="ListParagraph"/>
              <w:numPr>
                <w:ilvl w:val="0"/>
                <w:numId w:val="1016"/>
              </w:numPr>
              <w:snapToGrid w:val="0"/>
              <w:ind w:leftChars="0" w:left="400" w:hanging="400"/>
              <w:rPr>
                <w:rFonts w:ascii="Times New Roman" w:eastAsia="Malgun Gothic" w:hAnsi="Times New Roman"/>
                <w:iCs/>
                <w:color w:val="000000"/>
                <w:szCs w:val="20"/>
                <w:lang w:eastAsia="zh-CN"/>
              </w:rPr>
            </w:pPr>
            <w:r w:rsidRPr="002B690E">
              <w:rPr>
                <w:rFonts w:ascii="Times New Roman" w:hAnsi="Times New Roman"/>
                <w:color w:val="000000"/>
                <w:szCs w:val="20"/>
                <w:lang w:eastAsia="ko-KR"/>
              </w:rPr>
              <w:t>CSI part-1 of the 1</w:t>
            </w:r>
            <w:r w:rsidRPr="002B690E">
              <w:rPr>
                <w:rFonts w:ascii="Times New Roman" w:hAnsi="Times New Roman"/>
                <w:color w:val="000000"/>
                <w:szCs w:val="20"/>
                <w:vertAlign w:val="superscript"/>
                <w:lang w:eastAsia="ko-KR"/>
              </w:rPr>
              <w:t>st</w:t>
            </w:r>
            <w:r w:rsidRPr="002B690E">
              <w:rPr>
                <w:rFonts w:ascii="Times New Roman" w:hAnsi="Times New Roman"/>
                <w:color w:val="000000"/>
                <w:szCs w:val="20"/>
                <w:lang w:eastAsia="ko-KR"/>
              </w:rPr>
              <w:t xml:space="preserve"> reported CRI, </w:t>
            </w:r>
          </w:p>
          <w:p w:rsidR="00352FF1" w:rsidRPr="002B690E" w:rsidRDefault="00352FF1" w:rsidP="00352FF1">
            <w:pPr>
              <w:pStyle w:val="ListParagraph"/>
              <w:numPr>
                <w:ilvl w:val="0"/>
                <w:numId w:val="1016"/>
              </w:numPr>
              <w:snapToGrid w:val="0"/>
              <w:ind w:leftChars="0" w:left="400" w:hanging="400"/>
              <w:rPr>
                <w:rFonts w:ascii="Times New Roman" w:eastAsia="Malgun Gothic" w:hAnsi="Times New Roman"/>
                <w:iCs/>
                <w:color w:val="000000"/>
                <w:szCs w:val="20"/>
                <w:lang w:eastAsia="zh-CN"/>
              </w:rPr>
            </w:pPr>
            <w:r w:rsidRPr="002B690E">
              <w:rPr>
                <w:rFonts w:ascii="Times New Roman" w:eastAsia="Malgun Gothic" w:hAnsi="Times New Roman"/>
                <w:iCs/>
                <w:color w:val="000000"/>
                <w:szCs w:val="20"/>
                <w:lang w:eastAsia="zh-CN"/>
              </w:rPr>
              <w:t>…</w:t>
            </w:r>
          </w:p>
          <w:p w:rsidR="00352FF1" w:rsidRPr="002B690E" w:rsidRDefault="00352FF1" w:rsidP="00352FF1">
            <w:pPr>
              <w:pStyle w:val="ListParagraph"/>
              <w:numPr>
                <w:ilvl w:val="0"/>
                <w:numId w:val="1016"/>
              </w:numPr>
              <w:snapToGrid w:val="0"/>
              <w:ind w:leftChars="0" w:left="400" w:hanging="400"/>
              <w:rPr>
                <w:rFonts w:ascii="Times New Roman" w:eastAsia="Malgun Gothic" w:hAnsi="Times New Roman"/>
                <w:iCs/>
                <w:color w:val="000000"/>
                <w:szCs w:val="20"/>
                <w:lang w:eastAsia="zh-CN"/>
              </w:rPr>
            </w:pPr>
            <w:r w:rsidRPr="002B690E">
              <w:rPr>
                <w:rFonts w:ascii="Times New Roman" w:hAnsi="Times New Roman"/>
                <w:color w:val="000000"/>
                <w:szCs w:val="20"/>
                <w:lang w:eastAsia="ko-KR"/>
              </w:rPr>
              <w:t xml:space="preserve">CSI part-1 of the </w:t>
            </w:r>
            <w:r w:rsidRPr="002B690E">
              <w:rPr>
                <w:rStyle w:val="Strong"/>
                <w:rFonts w:ascii="Times New Roman" w:hAnsi="Times New Roman"/>
                <w:color w:val="000000"/>
                <w:szCs w:val="20"/>
              </w:rPr>
              <w:t>(M-M</w:t>
            </w:r>
            <w:r w:rsidRPr="002B690E">
              <w:rPr>
                <w:rStyle w:val="Strong"/>
                <w:rFonts w:ascii="Times New Roman" w:hAnsi="Times New Roman"/>
                <w:color w:val="000000"/>
                <w:szCs w:val="20"/>
                <w:vertAlign w:val="subscript"/>
              </w:rPr>
              <w:t>R</w:t>
            </w:r>
            <w:r w:rsidRPr="002B690E">
              <w:rPr>
                <w:rStyle w:val="Strong"/>
                <w:rFonts w:ascii="Times New Roman" w:hAnsi="Times New Roman"/>
                <w:color w:val="000000"/>
                <w:szCs w:val="20"/>
              </w:rPr>
              <w:t>)</w:t>
            </w:r>
            <w:r w:rsidRPr="002B690E">
              <w:rPr>
                <w:rStyle w:val="Strong"/>
                <w:rFonts w:ascii="Times New Roman" w:hAnsi="Times New Roman"/>
                <w:color w:val="000000"/>
                <w:szCs w:val="20"/>
                <w:vertAlign w:val="superscript"/>
              </w:rPr>
              <w:t>th</w:t>
            </w:r>
            <w:r w:rsidRPr="002B690E">
              <w:rPr>
                <w:rStyle w:val="Strong"/>
                <w:rFonts w:ascii="Times New Roman" w:hAnsi="Times New Roman"/>
                <w:color w:val="000000"/>
                <w:szCs w:val="20"/>
              </w:rPr>
              <w:t> </w:t>
            </w:r>
            <w:r w:rsidRPr="002B690E">
              <w:rPr>
                <w:rFonts w:ascii="Times New Roman" w:hAnsi="Times New Roman"/>
                <w:color w:val="000000"/>
                <w:szCs w:val="20"/>
                <w:lang w:eastAsia="ko-KR"/>
              </w:rPr>
              <w:t xml:space="preserve">reported CRI, </w:t>
            </w:r>
          </w:p>
          <w:p w:rsidR="00352FF1" w:rsidRPr="002B690E" w:rsidRDefault="00352FF1" w:rsidP="00352FF1">
            <w:pPr>
              <w:widowControl w:val="0"/>
              <w:snapToGrid w:val="0"/>
              <w:rPr>
                <w:rFonts w:eastAsia="Malgun Gothic"/>
                <w:sz w:val="20"/>
                <w:szCs w:val="20"/>
                <w:lang w:eastAsia="ko-KR"/>
              </w:rPr>
            </w:pPr>
          </w:p>
          <w:p w:rsidR="00352FF1" w:rsidRPr="002B690E" w:rsidRDefault="00352FF1" w:rsidP="00352FF1">
            <w:pPr>
              <w:rPr>
                <w:b/>
                <w:bCs/>
                <w:sz w:val="20"/>
                <w:szCs w:val="20"/>
              </w:rPr>
            </w:pPr>
            <w:r w:rsidRPr="002B690E">
              <w:rPr>
                <w:b/>
                <w:bCs/>
                <w:sz w:val="20"/>
                <w:szCs w:val="20"/>
                <w:highlight w:val="green"/>
              </w:rPr>
              <w:t>Agreement</w:t>
            </w:r>
          </w:p>
          <w:p w:rsidR="00352FF1" w:rsidRPr="0056052B" w:rsidRDefault="00352FF1" w:rsidP="00352FF1">
            <w:pPr>
              <w:snapToGrid w:val="0"/>
              <w:rPr>
                <w:rFonts w:eastAsia="SimSun"/>
                <w:color w:val="000000"/>
                <w:sz w:val="20"/>
                <w:szCs w:val="20"/>
              </w:rPr>
            </w:pPr>
            <w:r w:rsidRPr="0056052B">
              <w:rPr>
                <w:bCs/>
                <w:sz w:val="20"/>
                <w:szCs w:val="20"/>
              </w:rPr>
              <w:t>For the Rel-19 aperiodic standalone CJT calibration reporting, when ReportQuantity is ‘cjtc-P’ (DL/UL phase offset), regarding the support of sub-band reporting (</w:t>
            </w:r>
            <w:r w:rsidRPr="0056052B">
              <w:rPr>
                <w:rFonts w:ascii="Symbol" w:eastAsia="Malgun Gothic" w:hAnsi="Symbol"/>
                <w:sz w:val="20"/>
                <w:szCs w:val="20"/>
              </w:rPr>
              <w:t></w:t>
            </w:r>
            <w:r w:rsidRPr="0056052B">
              <w:rPr>
                <w:bCs/>
                <w:sz w:val="20"/>
                <w:szCs w:val="20"/>
              </w:rPr>
              <w:t xml:space="preserve">&gt;1) </w:t>
            </w:r>
            <w:r w:rsidRPr="0056052B">
              <w:rPr>
                <w:rFonts w:eastAsia="Malgun Gothic"/>
                <w:sz w:val="20"/>
                <w:szCs w:val="20"/>
              </w:rPr>
              <w:t>{</w:t>
            </w:r>
            <w:r w:rsidRPr="0056052B">
              <w:rPr>
                <w:sz w:val="20"/>
                <w:szCs w:val="20"/>
              </w:rPr>
              <w:t>(</w:t>
            </w:r>
            <w:r w:rsidRPr="0056052B">
              <w:rPr>
                <w:rFonts w:ascii="Symbol" w:hAnsi="Symbol"/>
                <w:sz w:val="20"/>
                <w:szCs w:val="20"/>
              </w:rPr>
              <w:t></w:t>
            </w:r>
            <w:r w:rsidRPr="0056052B">
              <w:rPr>
                <w:sz w:val="20"/>
                <w:szCs w:val="20"/>
                <w:vertAlign w:val="subscript"/>
              </w:rPr>
              <w:t>n,</w:t>
            </w:r>
            <w:r w:rsidRPr="0056052B">
              <w:rPr>
                <w:rFonts w:ascii="Symbol" w:hAnsi="Symbol"/>
                <w:sz w:val="20"/>
                <w:szCs w:val="20"/>
                <w:vertAlign w:val="subscript"/>
              </w:rPr>
              <w:t></w:t>
            </w:r>
            <w:r w:rsidRPr="0056052B">
              <w:rPr>
                <w:sz w:val="20"/>
                <w:szCs w:val="20"/>
              </w:rPr>
              <w:t xml:space="preserve">, </w:t>
            </w:r>
            <w:r w:rsidRPr="0056052B">
              <w:rPr>
                <w:rFonts w:ascii="Symbol" w:hAnsi="Symbol"/>
                <w:sz w:val="20"/>
                <w:szCs w:val="20"/>
              </w:rPr>
              <w:t></w:t>
            </w:r>
            <w:r w:rsidRPr="0056052B">
              <w:rPr>
                <w:sz w:val="20"/>
                <w:szCs w:val="20"/>
                <w:vertAlign w:val="subscript"/>
              </w:rPr>
              <w:t>n,</w:t>
            </w:r>
            <w:r w:rsidRPr="0056052B">
              <w:rPr>
                <w:rFonts w:ascii="Symbol" w:hAnsi="Symbol"/>
                <w:sz w:val="20"/>
                <w:szCs w:val="20"/>
                <w:vertAlign w:val="subscript"/>
              </w:rPr>
              <w:t></w:t>
            </w:r>
            <w:r w:rsidRPr="0056052B">
              <w:rPr>
                <w:rFonts w:ascii="Symbol" w:hAnsi="Symbol"/>
                <w:sz w:val="20"/>
                <w:szCs w:val="20"/>
                <w:vertAlign w:val="subscript"/>
              </w:rPr>
              <w:t></w:t>
            </w:r>
            <w:r w:rsidRPr="0056052B">
              <w:rPr>
                <w:rFonts w:ascii="Symbol" w:hAnsi="Symbol"/>
                <w:sz w:val="20"/>
                <w:szCs w:val="20"/>
                <w:vertAlign w:val="subscript"/>
              </w:rPr>
              <w:t></w:t>
            </w:r>
            <w:r w:rsidRPr="0056052B">
              <w:rPr>
                <w:rFonts w:ascii="Symbol" w:hAnsi="Symbol"/>
                <w:sz w:val="20"/>
                <w:szCs w:val="20"/>
              </w:rPr>
              <w:t></w:t>
            </w:r>
            <w:r w:rsidRPr="0056052B">
              <w:rPr>
                <w:rFonts w:ascii="Symbol" w:hAnsi="Symbol"/>
                <w:sz w:val="20"/>
                <w:szCs w:val="20"/>
              </w:rPr>
              <w:t></w:t>
            </w:r>
            <w:r w:rsidRPr="0056052B">
              <w:rPr>
                <w:rFonts w:ascii="Symbol" w:hAnsi="Symbol"/>
                <w:sz w:val="20"/>
                <w:szCs w:val="20"/>
              </w:rPr>
              <w:t></w:t>
            </w:r>
            <w:r w:rsidRPr="0056052B">
              <w:rPr>
                <w:sz w:val="20"/>
                <w:szCs w:val="20"/>
                <w:vertAlign w:val="subscript"/>
              </w:rPr>
              <w:t>,</w:t>
            </w:r>
            <w:r w:rsidRPr="0056052B">
              <w:rPr>
                <w:sz w:val="20"/>
                <w:szCs w:val="20"/>
              </w:rPr>
              <w:t xml:space="preserve"> </w:t>
            </w:r>
            <w:r w:rsidRPr="0056052B">
              <w:rPr>
                <w:rFonts w:ascii="Symbol" w:hAnsi="Symbol"/>
                <w:sz w:val="20"/>
                <w:szCs w:val="20"/>
              </w:rPr>
              <w:t></w:t>
            </w:r>
            <w:r w:rsidRPr="0056052B">
              <w:rPr>
                <w:sz w:val="20"/>
                <w:szCs w:val="20"/>
                <w:vertAlign w:val="subscript"/>
              </w:rPr>
              <w:t>n,NSB-P</w:t>
            </w:r>
            <w:r w:rsidRPr="0056052B">
              <w:rPr>
                <w:rFonts w:ascii="Symbol" w:hAnsi="Symbol"/>
                <w:sz w:val="20"/>
                <w:szCs w:val="20"/>
                <w:vertAlign w:val="subscript"/>
              </w:rPr>
              <w:t></w:t>
            </w:r>
            <w:r w:rsidRPr="0056052B">
              <w:rPr>
                <w:rFonts w:ascii="Symbol" w:hAnsi="Symbol"/>
                <w:sz w:val="20"/>
                <w:szCs w:val="20"/>
                <w:vertAlign w:val="subscript"/>
              </w:rPr>
              <w:t></w:t>
            </w:r>
            <w:r w:rsidRPr="0056052B">
              <w:rPr>
                <w:rFonts w:ascii="Symbol" w:hAnsi="Symbol"/>
                <w:sz w:val="20"/>
                <w:szCs w:val="20"/>
                <w:vertAlign w:val="subscript"/>
              </w:rPr>
              <w:t></w:t>
            </w:r>
            <w:r w:rsidRPr="0056052B">
              <w:rPr>
                <w:sz w:val="20"/>
                <w:szCs w:val="20"/>
              </w:rPr>
              <w:t>), n=0, 1, …, N</w:t>
            </w:r>
            <w:r w:rsidRPr="0056052B">
              <w:rPr>
                <w:sz w:val="20"/>
                <w:szCs w:val="20"/>
                <w:vertAlign w:val="subscript"/>
              </w:rPr>
              <w:t>TRP</w:t>
            </w:r>
            <w:r w:rsidRPr="0056052B">
              <w:rPr>
                <w:sz w:val="20"/>
                <w:szCs w:val="20"/>
              </w:rPr>
              <w:t xml:space="preserve"> – 1, n≠nref}:</w:t>
            </w:r>
          </w:p>
          <w:p w:rsidR="00352FF1" w:rsidRPr="0056052B" w:rsidRDefault="00352FF1" w:rsidP="00352FF1">
            <w:pPr>
              <w:pStyle w:val="ListParagraph"/>
              <w:widowControl w:val="0"/>
              <w:numPr>
                <w:ilvl w:val="0"/>
                <w:numId w:val="1017"/>
              </w:numPr>
              <w:snapToGrid w:val="0"/>
              <w:ind w:leftChars="0" w:left="400" w:hanging="400"/>
              <w:rPr>
                <w:szCs w:val="20"/>
              </w:rPr>
            </w:pPr>
            <w:r w:rsidRPr="0056052B">
              <w:rPr>
                <w:bCs/>
                <w:szCs w:val="20"/>
                <w:lang w:eastAsia="zh-CN"/>
              </w:rPr>
              <w:t>Supported sub-band size(s) {</w:t>
            </w:r>
            <w:r w:rsidRPr="0056052B">
              <w:rPr>
                <w:bCs/>
                <w:szCs w:val="20"/>
              </w:rPr>
              <w:t>1, 2, 4, 8, 16} PRB</w:t>
            </w:r>
          </w:p>
          <w:p w:rsidR="00352FF1" w:rsidRPr="0056052B" w:rsidRDefault="00352FF1" w:rsidP="00352FF1">
            <w:pPr>
              <w:pStyle w:val="ListParagraph"/>
              <w:widowControl w:val="0"/>
              <w:numPr>
                <w:ilvl w:val="0"/>
                <w:numId w:val="1017"/>
              </w:numPr>
              <w:snapToGrid w:val="0"/>
              <w:ind w:leftChars="0" w:left="400" w:hanging="400"/>
              <w:rPr>
                <w:szCs w:val="20"/>
              </w:rPr>
            </w:pPr>
            <w:r w:rsidRPr="0056052B">
              <w:rPr>
                <w:szCs w:val="20"/>
              </w:rPr>
              <w:t>The NW configures, via higher-layer (RRC) signalling, which N</w:t>
            </w:r>
            <w:r w:rsidRPr="0056052B">
              <w:rPr>
                <w:szCs w:val="20"/>
                <w:vertAlign w:val="subscript"/>
              </w:rPr>
              <w:t>SB-P</w:t>
            </w:r>
            <w:r w:rsidRPr="0056052B">
              <w:rPr>
                <w:szCs w:val="20"/>
              </w:rPr>
              <w:t xml:space="preserve"> sub-band(s) the UE reports </w:t>
            </w:r>
          </w:p>
          <w:p w:rsidR="00352FF1" w:rsidRPr="0056052B" w:rsidRDefault="00352FF1" w:rsidP="00352FF1">
            <w:pPr>
              <w:widowControl w:val="0"/>
              <w:snapToGrid w:val="0"/>
              <w:rPr>
                <w:rFonts w:eastAsia="Malgun Gothic"/>
                <w:b/>
                <w:iCs/>
                <w:sz w:val="20"/>
                <w:szCs w:val="20"/>
                <w:lang w:val="en-GB"/>
              </w:rPr>
            </w:pPr>
          </w:p>
          <w:p w:rsidR="00352FF1" w:rsidRPr="002B690E" w:rsidRDefault="00352FF1" w:rsidP="00352FF1">
            <w:pPr>
              <w:rPr>
                <w:b/>
                <w:bCs/>
                <w:sz w:val="20"/>
                <w:szCs w:val="20"/>
              </w:rPr>
            </w:pPr>
            <w:r w:rsidRPr="002B690E">
              <w:rPr>
                <w:b/>
                <w:bCs/>
                <w:sz w:val="20"/>
                <w:szCs w:val="20"/>
                <w:highlight w:val="green"/>
              </w:rPr>
              <w:t>Agreement</w:t>
            </w:r>
          </w:p>
          <w:p w:rsidR="00352FF1" w:rsidRPr="002B690E" w:rsidRDefault="00352FF1" w:rsidP="00352FF1">
            <w:pPr>
              <w:snapToGrid w:val="0"/>
              <w:rPr>
                <w:rFonts w:eastAsia="Malgun Gothic"/>
                <w:sz w:val="20"/>
                <w:szCs w:val="20"/>
                <w:lang w:eastAsia="ko-KR"/>
              </w:rPr>
            </w:pPr>
            <w:r w:rsidRPr="002B690E">
              <w:rPr>
                <w:rFonts w:eastAsia="Malgun Gothic"/>
                <w:sz w:val="20"/>
                <w:szCs w:val="20"/>
                <w:lang w:eastAsia="ko-KR"/>
              </w:rPr>
              <w:t xml:space="preserve">For the Rel-19 CRI-based CSI refinement for up to 128 CSI-RS ports based on Rel-16 eType-II, regarding UCI omission for the UCI reported </w:t>
            </w:r>
            <w:r w:rsidRPr="002B690E">
              <w:rPr>
                <w:rFonts w:eastAsia="Malgun Gothic"/>
                <w:i/>
                <w:sz w:val="20"/>
                <w:szCs w:val="20"/>
                <w:lang w:eastAsia="ko-KR"/>
              </w:rPr>
              <w:t>in CSI part-2</w:t>
            </w:r>
            <w:r w:rsidRPr="002B690E">
              <w:rPr>
                <w:rFonts w:eastAsia="Malgun Gothic"/>
                <w:sz w:val="20"/>
                <w:szCs w:val="20"/>
                <w:lang w:eastAsia="ko-KR"/>
              </w:rPr>
              <w:t>, other than priority 0 (G0), the UCI packing order and the 2M consecutive priority levels are defined w.r.t the M CRIs (including the non-reported M</w:t>
            </w:r>
            <w:r w:rsidRPr="002B690E">
              <w:rPr>
                <w:rFonts w:eastAsia="Malgun Gothic"/>
                <w:sz w:val="20"/>
                <w:szCs w:val="20"/>
                <w:vertAlign w:val="subscript"/>
                <w:lang w:eastAsia="ko-KR"/>
              </w:rPr>
              <w:t>R</w:t>
            </w:r>
            <w:r w:rsidRPr="002B690E">
              <w:rPr>
                <w:rFonts w:eastAsia="Malgun Gothic"/>
                <w:sz w:val="20"/>
                <w:szCs w:val="20"/>
                <w:lang w:eastAsia="ko-KR"/>
              </w:rPr>
              <w:t xml:space="preserve"> CRIs) as follows:</w:t>
            </w:r>
          </w:p>
          <w:p w:rsidR="00352FF1" w:rsidRPr="002B690E" w:rsidRDefault="00352FF1" w:rsidP="00352FF1">
            <w:pPr>
              <w:pStyle w:val="ListParagraph"/>
              <w:widowControl w:val="0"/>
              <w:numPr>
                <w:ilvl w:val="0"/>
                <w:numId w:val="1042"/>
              </w:numPr>
              <w:snapToGrid w:val="0"/>
              <w:ind w:leftChars="0"/>
              <w:rPr>
                <w:rFonts w:ascii="Times New Roman" w:hAnsi="Times New Roman"/>
                <w:szCs w:val="20"/>
              </w:rPr>
            </w:pPr>
            <w:r w:rsidRPr="002B690E">
              <w:rPr>
                <w:rFonts w:ascii="Times New Roman" w:hAnsi="Times New Roman"/>
                <w:szCs w:val="20"/>
              </w:rPr>
              <w:t xml:space="preserve">Consecutive priority levels (higher to lower): </w:t>
            </w:r>
          </w:p>
          <w:p w:rsidR="00352FF1" w:rsidRPr="002B690E" w:rsidRDefault="00352FF1" w:rsidP="00352FF1">
            <w:pPr>
              <w:pStyle w:val="ListParagraph"/>
              <w:widowControl w:val="0"/>
              <w:numPr>
                <w:ilvl w:val="1"/>
                <w:numId w:val="1042"/>
              </w:numPr>
              <w:snapToGrid w:val="0"/>
              <w:ind w:leftChars="0"/>
              <w:rPr>
                <w:rFonts w:ascii="Times New Roman" w:hAnsi="Times New Roman"/>
                <w:szCs w:val="20"/>
              </w:rPr>
            </w:pPr>
            <w:r w:rsidRPr="002B690E">
              <w:rPr>
                <w:rStyle w:val="Strong"/>
                <w:rFonts w:ascii="Times New Roman" w:eastAsia="SimSun" w:hAnsi="Times New Roman"/>
                <w:szCs w:val="20"/>
              </w:rPr>
              <w:t>G1 PMI components</w:t>
            </w:r>
            <w:r w:rsidRPr="002B690E">
              <w:rPr>
                <w:rFonts w:ascii="Times New Roman" w:hAnsi="Times New Roman"/>
                <w:szCs w:val="20"/>
              </w:rPr>
              <w:t> associated with the first configured CMR among the non-reported M</w:t>
            </w:r>
            <w:r w:rsidRPr="002B690E">
              <w:rPr>
                <w:rFonts w:ascii="Times New Roman" w:hAnsi="Times New Roman"/>
                <w:szCs w:val="20"/>
                <w:vertAlign w:val="subscript"/>
              </w:rPr>
              <w:t>R</w:t>
            </w:r>
            <w:r w:rsidRPr="002B690E">
              <w:rPr>
                <w:rFonts w:ascii="Times New Roman" w:hAnsi="Times New Roman"/>
                <w:szCs w:val="20"/>
              </w:rPr>
              <w:t> CRIs, </w:t>
            </w:r>
          </w:p>
          <w:p w:rsidR="00352FF1" w:rsidRPr="002B690E" w:rsidRDefault="00352FF1" w:rsidP="00352FF1">
            <w:pPr>
              <w:pStyle w:val="ListParagraph"/>
              <w:widowControl w:val="0"/>
              <w:numPr>
                <w:ilvl w:val="1"/>
                <w:numId w:val="1042"/>
              </w:numPr>
              <w:snapToGrid w:val="0"/>
              <w:ind w:leftChars="0"/>
              <w:rPr>
                <w:rFonts w:ascii="Times New Roman" w:hAnsi="Times New Roman"/>
                <w:szCs w:val="20"/>
              </w:rPr>
            </w:pPr>
            <w:r w:rsidRPr="002B690E">
              <w:rPr>
                <w:rStyle w:val="Strong"/>
                <w:rFonts w:ascii="Times New Roman" w:eastAsia="SimSun" w:hAnsi="Times New Roman"/>
                <w:szCs w:val="20"/>
              </w:rPr>
              <w:t>G2 PMI components</w:t>
            </w:r>
            <w:r w:rsidRPr="002B690E">
              <w:rPr>
                <w:rFonts w:ascii="Times New Roman" w:hAnsi="Times New Roman"/>
                <w:szCs w:val="20"/>
              </w:rPr>
              <w:t> associated with the first configured CMR among the non-reported M</w:t>
            </w:r>
            <w:r w:rsidRPr="002B690E">
              <w:rPr>
                <w:rFonts w:ascii="Times New Roman" w:hAnsi="Times New Roman"/>
                <w:szCs w:val="20"/>
                <w:vertAlign w:val="subscript"/>
              </w:rPr>
              <w:t>R</w:t>
            </w:r>
            <w:r w:rsidRPr="002B690E">
              <w:rPr>
                <w:rFonts w:ascii="Times New Roman" w:hAnsi="Times New Roman"/>
                <w:szCs w:val="20"/>
              </w:rPr>
              <w:t xml:space="preserve"> CRIs, </w:t>
            </w:r>
          </w:p>
          <w:p w:rsidR="00352FF1" w:rsidRPr="002B690E" w:rsidRDefault="00352FF1" w:rsidP="00352FF1">
            <w:pPr>
              <w:pStyle w:val="ListParagraph"/>
              <w:widowControl w:val="0"/>
              <w:numPr>
                <w:ilvl w:val="1"/>
                <w:numId w:val="1042"/>
              </w:numPr>
              <w:snapToGrid w:val="0"/>
              <w:ind w:leftChars="0"/>
              <w:rPr>
                <w:rFonts w:ascii="Times New Roman" w:hAnsi="Times New Roman"/>
                <w:szCs w:val="20"/>
                <w:lang w:eastAsia="ko-KR"/>
              </w:rPr>
            </w:pPr>
            <w:r w:rsidRPr="002B690E">
              <w:rPr>
                <w:rFonts w:ascii="Times New Roman" w:hAnsi="Times New Roman"/>
                <w:szCs w:val="20"/>
              </w:rPr>
              <w:t>…,</w:t>
            </w:r>
          </w:p>
          <w:p w:rsidR="00352FF1" w:rsidRPr="002B690E" w:rsidRDefault="00352FF1" w:rsidP="00352FF1">
            <w:pPr>
              <w:pStyle w:val="ListParagraph"/>
              <w:widowControl w:val="0"/>
              <w:numPr>
                <w:ilvl w:val="1"/>
                <w:numId w:val="1042"/>
              </w:numPr>
              <w:snapToGrid w:val="0"/>
              <w:ind w:leftChars="0"/>
              <w:rPr>
                <w:rFonts w:ascii="Times New Roman" w:hAnsi="Times New Roman"/>
                <w:szCs w:val="20"/>
                <w:lang w:eastAsia="ko-KR"/>
              </w:rPr>
            </w:pPr>
            <w:r w:rsidRPr="002B690E">
              <w:rPr>
                <w:rStyle w:val="Strong"/>
                <w:rFonts w:ascii="Times New Roman" w:eastAsia="SimSun" w:hAnsi="Times New Roman"/>
                <w:szCs w:val="20"/>
              </w:rPr>
              <w:t>G1 PMI components</w:t>
            </w:r>
            <w:r w:rsidRPr="002B690E">
              <w:rPr>
                <w:rFonts w:ascii="Times New Roman" w:hAnsi="Times New Roman"/>
                <w:szCs w:val="20"/>
              </w:rPr>
              <w:t> associated with the</w:t>
            </w:r>
            <w:r w:rsidRPr="002B690E">
              <w:rPr>
                <w:rStyle w:val="Strong"/>
                <w:rFonts w:ascii="Times New Roman" w:eastAsia="SimSun" w:hAnsi="Times New Roman"/>
                <w:szCs w:val="20"/>
              </w:rPr>
              <w:t> </w:t>
            </w:r>
            <w:r w:rsidRPr="002B690E">
              <w:rPr>
                <w:rFonts w:ascii="Times New Roman" w:hAnsi="Times New Roman"/>
                <w:szCs w:val="20"/>
              </w:rPr>
              <w:t>last configured CMR</w:t>
            </w:r>
            <w:r w:rsidRPr="002B690E">
              <w:rPr>
                <w:rStyle w:val="Strong"/>
                <w:rFonts w:ascii="Times New Roman" w:eastAsia="SimSun" w:hAnsi="Times New Roman"/>
                <w:szCs w:val="20"/>
              </w:rPr>
              <w:t> </w:t>
            </w:r>
            <w:r w:rsidRPr="002B690E">
              <w:rPr>
                <w:rFonts w:ascii="Times New Roman" w:hAnsi="Times New Roman"/>
                <w:szCs w:val="20"/>
              </w:rPr>
              <w:t>among the non-reported M</w:t>
            </w:r>
            <w:r w:rsidRPr="002B690E">
              <w:rPr>
                <w:rFonts w:ascii="Times New Roman" w:hAnsi="Times New Roman"/>
                <w:szCs w:val="20"/>
                <w:vertAlign w:val="subscript"/>
              </w:rPr>
              <w:t>R</w:t>
            </w:r>
            <w:r w:rsidRPr="002B690E">
              <w:rPr>
                <w:rFonts w:ascii="Times New Roman" w:hAnsi="Times New Roman"/>
                <w:szCs w:val="20"/>
              </w:rPr>
              <w:t> CRIs, </w:t>
            </w:r>
          </w:p>
          <w:p w:rsidR="00352FF1" w:rsidRPr="002B690E" w:rsidRDefault="00352FF1" w:rsidP="00352FF1">
            <w:pPr>
              <w:pStyle w:val="ListParagraph"/>
              <w:widowControl w:val="0"/>
              <w:numPr>
                <w:ilvl w:val="1"/>
                <w:numId w:val="1042"/>
              </w:numPr>
              <w:snapToGrid w:val="0"/>
              <w:ind w:leftChars="0"/>
              <w:rPr>
                <w:rFonts w:ascii="Times New Roman" w:hAnsi="Times New Roman"/>
                <w:szCs w:val="20"/>
                <w:lang w:eastAsia="ko-KR"/>
              </w:rPr>
            </w:pPr>
            <w:r w:rsidRPr="002B690E">
              <w:rPr>
                <w:rStyle w:val="Strong"/>
                <w:rFonts w:ascii="Times New Roman" w:eastAsia="SimSun" w:hAnsi="Times New Roman"/>
                <w:szCs w:val="20"/>
              </w:rPr>
              <w:t>G2 PMI components</w:t>
            </w:r>
            <w:r w:rsidRPr="002B690E">
              <w:rPr>
                <w:rFonts w:ascii="Times New Roman" w:hAnsi="Times New Roman"/>
                <w:szCs w:val="20"/>
              </w:rPr>
              <w:t> associated with the last configured CMR</w:t>
            </w:r>
            <w:r w:rsidRPr="002B690E">
              <w:rPr>
                <w:rStyle w:val="Strong"/>
                <w:rFonts w:ascii="Times New Roman" w:eastAsia="SimSun" w:hAnsi="Times New Roman"/>
                <w:szCs w:val="20"/>
              </w:rPr>
              <w:t> </w:t>
            </w:r>
            <w:r w:rsidRPr="002B690E">
              <w:rPr>
                <w:rFonts w:ascii="Times New Roman" w:hAnsi="Times New Roman"/>
                <w:szCs w:val="20"/>
              </w:rPr>
              <w:t>among the non-reported M</w:t>
            </w:r>
            <w:r w:rsidRPr="002B690E">
              <w:rPr>
                <w:rFonts w:ascii="Times New Roman" w:hAnsi="Times New Roman"/>
                <w:szCs w:val="20"/>
                <w:vertAlign w:val="subscript"/>
              </w:rPr>
              <w:t>R</w:t>
            </w:r>
            <w:r w:rsidRPr="002B690E">
              <w:rPr>
                <w:rFonts w:ascii="Times New Roman" w:hAnsi="Times New Roman"/>
                <w:szCs w:val="20"/>
              </w:rPr>
              <w:t xml:space="preserve"> CRIs, </w:t>
            </w:r>
          </w:p>
          <w:p w:rsidR="00352FF1" w:rsidRPr="002B690E" w:rsidRDefault="00352FF1" w:rsidP="00352FF1">
            <w:pPr>
              <w:pStyle w:val="ListParagraph"/>
              <w:widowControl w:val="0"/>
              <w:numPr>
                <w:ilvl w:val="1"/>
                <w:numId w:val="1042"/>
              </w:numPr>
              <w:snapToGrid w:val="0"/>
              <w:ind w:leftChars="0"/>
              <w:rPr>
                <w:rFonts w:ascii="Times New Roman" w:hAnsi="Times New Roman"/>
                <w:szCs w:val="20"/>
                <w:lang w:eastAsia="ko-KR"/>
              </w:rPr>
            </w:pPr>
            <w:r w:rsidRPr="002B690E">
              <w:rPr>
                <w:rStyle w:val="Strong"/>
                <w:rFonts w:ascii="Times New Roman" w:eastAsia="SimSun" w:hAnsi="Times New Roman"/>
                <w:szCs w:val="20"/>
              </w:rPr>
              <w:t>G1 PMI components</w:t>
            </w:r>
            <w:r w:rsidRPr="002B690E">
              <w:rPr>
                <w:rFonts w:ascii="Times New Roman" w:hAnsi="Times New Roman"/>
                <w:szCs w:val="20"/>
              </w:rPr>
              <w:t> of the </w:t>
            </w:r>
            <w:r w:rsidRPr="002B690E">
              <w:rPr>
                <w:rStyle w:val="Strong"/>
                <w:rFonts w:ascii="Times New Roman" w:eastAsia="SimSun" w:hAnsi="Times New Roman"/>
                <w:szCs w:val="20"/>
              </w:rPr>
              <w:t>1</w:t>
            </w:r>
            <w:r w:rsidRPr="002B690E">
              <w:rPr>
                <w:rStyle w:val="Strong"/>
                <w:rFonts w:ascii="Times New Roman" w:eastAsia="SimSun" w:hAnsi="Times New Roman"/>
                <w:szCs w:val="20"/>
                <w:vertAlign w:val="superscript"/>
              </w:rPr>
              <w:t>st</w:t>
            </w:r>
            <w:r w:rsidRPr="002B690E">
              <w:rPr>
                <w:rStyle w:val="Strong"/>
                <w:rFonts w:ascii="Times New Roman" w:eastAsia="SimSun" w:hAnsi="Times New Roman"/>
                <w:szCs w:val="20"/>
              </w:rPr>
              <w:t> reported CRI</w:t>
            </w:r>
            <w:r w:rsidRPr="002B690E">
              <w:rPr>
                <w:rFonts w:ascii="Times New Roman" w:hAnsi="Times New Roman"/>
                <w:szCs w:val="20"/>
              </w:rPr>
              <w:t>, </w:t>
            </w:r>
          </w:p>
          <w:p w:rsidR="00352FF1" w:rsidRPr="002B690E" w:rsidRDefault="00352FF1" w:rsidP="00352FF1">
            <w:pPr>
              <w:pStyle w:val="ListParagraph"/>
              <w:widowControl w:val="0"/>
              <w:numPr>
                <w:ilvl w:val="1"/>
                <w:numId w:val="1042"/>
              </w:numPr>
              <w:snapToGrid w:val="0"/>
              <w:ind w:leftChars="0"/>
              <w:rPr>
                <w:rFonts w:ascii="Times New Roman" w:hAnsi="Times New Roman"/>
                <w:szCs w:val="20"/>
                <w:lang w:eastAsia="ko-KR"/>
              </w:rPr>
            </w:pPr>
            <w:r w:rsidRPr="002B690E">
              <w:rPr>
                <w:rStyle w:val="Strong"/>
                <w:rFonts w:ascii="Times New Roman" w:eastAsia="SimSun" w:hAnsi="Times New Roman"/>
                <w:szCs w:val="20"/>
              </w:rPr>
              <w:t>G2 PMI components </w:t>
            </w:r>
            <w:r w:rsidRPr="002B690E">
              <w:rPr>
                <w:rFonts w:ascii="Times New Roman" w:hAnsi="Times New Roman"/>
                <w:szCs w:val="20"/>
              </w:rPr>
              <w:t>of the </w:t>
            </w:r>
            <w:r w:rsidRPr="002B690E">
              <w:rPr>
                <w:rStyle w:val="Strong"/>
                <w:rFonts w:ascii="Times New Roman" w:eastAsia="SimSun" w:hAnsi="Times New Roman"/>
                <w:szCs w:val="20"/>
              </w:rPr>
              <w:t>1</w:t>
            </w:r>
            <w:r w:rsidRPr="002B690E">
              <w:rPr>
                <w:rStyle w:val="Strong"/>
                <w:rFonts w:ascii="Times New Roman" w:eastAsia="SimSun" w:hAnsi="Times New Roman"/>
                <w:szCs w:val="20"/>
                <w:vertAlign w:val="superscript"/>
              </w:rPr>
              <w:t>st</w:t>
            </w:r>
            <w:r w:rsidRPr="002B690E">
              <w:rPr>
                <w:rStyle w:val="Strong"/>
                <w:rFonts w:ascii="Times New Roman" w:eastAsia="SimSun" w:hAnsi="Times New Roman"/>
                <w:szCs w:val="20"/>
              </w:rPr>
              <w:t> reported CRI</w:t>
            </w:r>
            <w:r w:rsidRPr="002B690E">
              <w:rPr>
                <w:rFonts w:ascii="Times New Roman" w:hAnsi="Times New Roman"/>
                <w:szCs w:val="20"/>
              </w:rPr>
              <w:t xml:space="preserve">, </w:t>
            </w:r>
          </w:p>
          <w:p w:rsidR="00352FF1" w:rsidRPr="002B690E" w:rsidRDefault="00352FF1" w:rsidP="00352FF1">
            <w:pPr>
              <w:pStyle w:val="ListParagraph"/>
              <w:widowControl w:val="0"/>
              <w:numPr>
                <w:ilvl w:val="1"/>
                <w:numId w:val="1042"/>
              </w:numPr>
              <w:snapToGrid w:val="0"/>
              <w:ind w:leftChars="0"/>
              <w:rPr>
                <w:rFonts w:ascii="Times New Roman" w:hAnsi="Times New Roman"/>
                <w:szCs w:val="20"/>
                <w:lang w:eastAsia="ko-KR"/>
              </w:rPr>
            </w:pPr>
            <w:r w:rsidRPr="002B690E">
              <w:rPr>
                <w:rFonts w:ascii="Times New Roman" w:hAnsi="Times New Roman"/>
                <w:szCs w:val="20"/>
              </w:rPr>
              <w:t>…, </w:t>
            </w:r>
          </w:p>
          <w:p w:rsidR="00352FF1" w:rsidRPr="002B690E" w:rsidRDefault="00352FF1" w:rsidP="00352FF1">
            <w:pPr>
              <w:pStyle w:val="ListParagraph"/>
              <w:widowControl w:val="0"/>
              <w:numPr>
                <w:ilvl w:val="1"/>
                <w:numId w:val="1042"/>
              </w:numPr>
              <w:snapToGrid w:val="0"/>
              <w:ind w:leftChars="0"/>
              <w:rPr>
                <w:rFonts w:ascii="Times New Roman" w:hAnsi="Times New Roman"/>
                <w:szCs w:val="20"/>
                <w:lang w:eastAsia="ko-KR"/>
              </w:rPr>
            </w:pPr>
            <w:r w:rsidRPr="002B690E">
              <w:rPr>
                <w:rStyle w:val="Strong"/>
                <w:rFonts w:ascii="Times New Roman" w:eastAsia="SimSun" w:hAnsi="Times New Roman"/>
                <w:szCs w:val="20"/>
              </w:rPr>
              <w:t>G1 PMI components</w:t>
            </w:r>
            <w:r w:rsidRPr="002B690E">
              <w:rPr>
                <w:rFonts w:ascii="Times New Roman" w:hAnsi="Times New Roman"/>
                <w:szCs w:val="20"/>
              </w:rPr>
              <w:t> of the </w:t>
            </w:r>
            <w:r w:rsidRPr="002B690E">
              <w:rPr>
                <w:rStyle w:val="Strong"/>
                <w:rFonts w:ascii="Times New Roman" w:eastAsia="SimSun" w:hAnsi="Times New Roman"/>
                <w:szCs w:val="20"/>
              </w:rPr>
              <w:t>(M-M</w:t>
            </w:r>
            <w:r w:rsidRPr="002B690E">
              <w:rPr>
                <w:rStyle w:val="Strong"/>
                <w:rFonts w:ascii="Times New Roman" w:eastAsia="SimSun" w:hAnsi="Times New Roman"/>
                <w:szCs w:val="20"/>
                <w:vertAlign w:val="subscript"/>
              </w:rPr>
              <w:t>R</w:t>
            </w:r>
            <w:r w:rsidRPr="002B690E">
              <w:rPr>
                <w:rStyle w:val="Strong"/>
                <w:rFonts w:ascii="Times New Roman" w:eastAsia="SimSun" w:hAnsi="Times New Roman"/>
                <w:szCs w:val="20"/>
              </w:rPr>
              <w:t>)</w:t>
            </w:r>
            <w:r w:rsidRPr="002B690E">
              <w:rPr>
                <w:rStyle w:val="Strong"/>
                <w:rFonts w:ascii="Times New Roman" w:eastAsia="SimSun" w:hAnsi="Times New Roman"/>
                <w:szCs w:val="20"/>
                <w:vertAlign w:val="superscript"/>
              </w:rPr>
              <w:t>th</w:t>
            </w:r>
            <w:r w:rsidRPr="002B690E">
              <w:rPr>
                <w:rStyle w:val="Strong"/>
                <w:rFonts w:ascii="Times New Roman" w:eastAsia="SimSun" w:hAnsi="Times New Roman"/>
                <w:szCs w:val="20"/>
              </w:rPr>
              <w:t> reported CRI</w:t>
            </w:r>
            <w:r w:rsidRPr="002B690E">
              <w:rPr>
                <w:rFonts w:ascii="Times New Roman" w:hAnsi="Times New Roman"/>
                <w:szCs w:val="20"/>
              </w:rPr>
              <w:t>,</w:t>
            </w:r>
          </w:p>
          <w:p w:rsidR="00352FF1" w:rsidRPr="002B690E" w:rsidRDefault="00352FF1" w:rsidP="00352FF1">
            <w:pPr>
              <w:pStyle w:val="ListParagraph"/>
              <w:widowControl w:val="0"/>
              <w:numPr>
                <w:ilvl w:val="1"/>
                <w:numId w:val="1042"/>
              </w:numPr>
              <w:snapToGrid w:val="0"/>
              <w:ind w:leftChars="0"/>
              <w:rPr>
                <w:rFonts w:ascii="Times New Roman" w:hAnsi="Times New Roman"/>
                <w:szCs w:val="20"/>
                <w:lang w:eastAsia="ko-KR"/>
              </w:rPr>
            </w:pPr>
            <w:r w:rsidRPr="002B690E">
              <w:rPr>
                <w:rStyle w:val="Strong"/>
                <w:rFonts w:ascii="Times New Roman" w:eastAsia="SimSun" w:hAnsi="Times New Roman"/>
                <w:szCs w:val="20"/>
              </w:rPr>
              <w:t>G2 PMI components</w:t>
            </w:r>
            <w:r w:rsidRPr="002B690E">
              <w:rPr>
                <w:rFonts w:ascii="Times New Roman" w:hAnsi="Times New Roman"/>
                <w:szCs w:val="20"/>
              </w:rPr>
              <w:t> of the </w:t>
            </w:r>
            <w:r w:rsidRPr="002B690E">
              <w:rPr>
                <w:rStyle w:val="Strong"/>
                <w:rFonts w:ascii="Times New Roman" w:eastAsia="SimSun" w:hAnsi="Times New Roman"/>
                <w:szCs w:val="20"/>
              </w:rPr>
              <w:t>(M-M</w:t>
            </w:r>
            <w:r w:rsidRPr="002B690E">
              <w:rPr>
                <w:rStyle w:val="Strong"/>
                <w:rFonts w:ascii="Times New Roman" w:eastAsia="SimSun" w:hAnsi="Times New Roman"/>
                <w:szCs w:val="20"/>
                <w:vertAlign w:val="subscript"/>
              </w:rPr>
              <w:t>R</w:t>
            </w:r>
            <w:r w:rsidRPr="002B690E">
              <w:rPr>
                <w:rStyle w:val="Strong"/>
                <w:rFonts w:ascii="Times New Roman" w:eastAsia="SimSun" w:hAnsi="Times New Roman"/>
                <w:szCs w:val="20"/>
              </w:rPr>
              <w:t>)</w:t>
            </w:r>
            <w:r w:rsidRPr="002B690E">
              <w:rPr>
                <w:rStyle w:val="Strong"/>
                <w:rFonts w:ascii="Times New Roman" w:eastAsia="SimSun" w:hAnsi="Times New Roman"/>
                <w:szCs w:val="20"/>
                <w:vertAlign w:val="superscript"/>
              </w:rPr>
              <w:t>th</w:t>
            </w:r>
            <w:r w:rsidRPr="002B690E">
              <w:rPr>
                <w:rStyle w:val="Strong"/>
                <w:rFonts w:ascii="Times New Roman" w:eastAsia="SimSun" w:hAnsi="Times New Roman"/>
                <w:szCs w:val="20"/>
              </w:rPr>
              <w:t> reported CRI</w:t>
            </w:r>
            <w:r w:rsidRPr="002B690E">
              <w:rPr>
                <w:rFonts w:ascii="Times New Roman" w:hAnsi="Times New Roman"/>
                <w:szCs w:val="20"/>
              </w:rPr>
              <w:t>.</w:t>
            </w:r>
          </w:p>
          <w:p w:rsidR="00352FF1" w:rsidRPr="002B690E" w:rsidRDefault="00352FF1" w:rsidP="00352FF1">
            <w:pPr>
              <w:snapToGrid w:val="0"/>
              <w:rPr>
                <w:sz w:val="20"/>
                <w:szCs w:val="20"/>
              </w:rPr>
            </w:pPr>
            <w:r w:rsidRPr="002B690E">
              <w:rPr>
                <w:sz w:val="20"/>
                <w:szCs w:val="20"/>
                <w:lang w:eastAsia="ko-KR"/>
              </w:rPr>
              <w:t xml:space="preserve">Note: For UCI fields in wideband (G0), </w:t>
            </w:r>
            <w:r w:rsidRPr="002B690E">
              <w:rPr>
                <w:rStyle w:val="Strong"/>
                <w:rFonts w:eastAsia="SimSun"/>
                <w:sz w:val="20"/>
                <w:szCs w:val="20"/>
              </w:rPr>
              <w:t>G1 PMI components (</w:t>
            </w:r>
            <w:r w:rsidRPr="002B690E">
              <w:rPr>
                <w:sz w:val="20"/>
                <w:szCs w:val="20"/>
              </w:rPr>
              <w:t>based on Rel-16 eType-II CB in Section 6.3.2.1.2, TS 38.212</w:t>
            </w:r>
            <w:r w:rsidRPr="002B690E">
              <w:rPr>
                <w:rStyle w:val="Strong"/>
                <w:rFonts w:eastAsia="SimSun"/>
                <w:sz w:val="20"/>
                <w:szCs w:val="20"/>
              </w:rPr>
              <w:t>)</w:t>
            </w:r>
            <w:r w:rsidRPr="002B690E">
              <w:rPr>
                <w:sz w:val="20"/>
                <w:szCs w:val="20"/>
                <w:lang w:eastAsia="ko-KR"/>
              </w:rPr>
              <w:t xml:space="preserve">, and </w:t>
            </w:r>
            <w:r w:rsidRPr="002B690E">
              <w:rPr>
                <w:rStyle w:val="Strong"/>
                <w:rFonts w:eastAsia="SimSun"/>
                <w:sz w:val="20"/>
                <w:szCs w:val="20"/>
              </w:rPr>
              <w:t>G2 PMI components</w:t>
            </w:r>
            <w:r w:rsidRPr="002B690E">
              <w:rPr>
                <w:sz w:val="20"/>
                <w:szCs w:val="20"/>
                <w:lang w:eastAsia="ko-KR"/>
              </w:rPr>
              <w:t>, legacy design is fully reused.</w:t>
            </w:r>
            <w:r w:rsidRPr="002B690E">
              <w:rPr>
                <w:sz w:val="20"/>
                <w:szCs w:val="20"/>
              </w:rPr>
              <w:t xml:space="preserve"> </w:t>
            </w:r>
          </w:p>
          <w:p w:rsidR="00352FF1" w:rsidRPr="002B690E" w:rsidRDefault="00352FF1" w:rsidP="00352FF1">
            <w:pPr>
              <w:rPr>
                <w:iCs/>
                <w:sz w:val="20"/>
                <w:szCs w:val="20"/>
                <w:lang w:eastAsia="x-none"/>
              </w:rPr>
            </w:pPr>
          </w:p>
          <w:p w:rsidR="00352FF1" w:rsidRPr="002B690E" w:rsidRDefault="00352FF1" w:rsidP="00352FF1">
            <w:pPr>
              <w:rPr>
                <w:b/>
                <w:bCs/>
                <w:sz w:val="20"/>
                <w:szCs w:val="20"/>
              </w:rPr>
            </w:pPr>
            <w:r w:rsidRPr="002B690E">
              <w:rPr>
                <w:b/>
                <w:bCs/>
                <w:sz w:val="20"/>
                <w:szCs w:val="20"/>
                <w:highlight w:val="green"/>
              </w:rPr>
              <w:t>Agreement</w:t>
            </w:r>
          </w:p>
          <w:p w:rsidR="00352FF1" w:rsidRPr="0056052B" w:rsidRDefault="00352FF1" w:rsidP="00352FF1">
            <w:pPr>
              <w:snapToGrid w:val="0"/>
              <w:rPr>
                <w:rFonts w:eastAsia="Malgun Gothic"/>
                <w:sz w:val="20"/>
                <w:szCs w:val="20"/>
              </w:rPr>
            </w:pPr>
            <w:r w:rsidRPr="0056052B">
              <w:rPr>
                <w:rFonts w:eastAsia="Calibri"/>
                <w:sz w:val="20"/>
                <w:szCs w:val="20"/>
              </w:rPr>
              <w:lastRenderedPageBreak/>
              <w:t>For the Rel-19 aperiodic standalone CJT calibration (CJTC) reporting, w</w:t>
            </w:r>
            <w:r w:rsidRPr="0056052B">
              <w:rPr>
                <w:sz w:val="20"/>
                <w:szCs w:val="20"/>
              </w:rPr>
              <w:t>hen</w:t>
            </w:r>
            <w:r w:rsidRPr="0056052B">
              <w:rPr>
                <w:i/>
                <w:sz w:val="20"/>
                <w:szCs w:val="20"/>
              </w:rPr>
              <w:t xml:space="preserve"> </w:t>
            </w:r>
            <w:r w:rsidRPr="0056052B">
              <w:rPr>
                <w:rFonts w:eastAsia="Malgun Gothic"/>
                <w:i/>
                <w:sz w:val="20"/>
                <w:szCs w:val="20"/>
              </w:rPr>
              <w:t xml:space="preserve">ReportQuantity </w:t>
            </w:r>
            <w:r w:rsidRPr="0056052B">
              <w:rPr>
                <w:rFonts w:eastAsia="Malgun Gothic"/>
                <w:sz w:val="20"/>
                <w:szCs w:val="20"/>
              </w:rPr>
              <w:t>is</w:t>
            </w:r>
            <w:r w:rsidRPr="0056052B">
              <w:rPr>
                <w:rFonts w:eastAsia="Malgun Gothic"/>
                <w:i/>
                <w:sz w:val="20"/>
                <w:szCs w:val="20"/>
              </w:rPr>
              <w:t xml:space="preserve"> ‘cjtc-P’ </w:t>
            </w:r>
            <w:r w:rsidRPr="0056052B">
              <w:rPr>
                <w:rFonts w:eastAsia="Malgun Gothic"/>
                <w:sz w:val="20"/>
                <w:szCs w:val="20"/>
              </w:rPr>
              <w:t xml:space="preserve">(PO) and </w:t>
            </w:r>
            <w:r w:rsidRPr="0056052B">
              <w:rPr>
                <w:rFonts w:ascii="Symbol" w:eastAsia="Malgun Gothic" w:hAnsi="Symbol"/>
                <w:sz w:val="20"/>
                <w:szCs w:val="20"/>
              </w:rPr>
              <w:t></w:t>
            </w:r>
            <w:r w:rsidRPr="0056052B">
              <w:rPr>
                <w:rFonts w:eastAsia="Malgun Gothic"/>
                <w:sz w:val="20"/>
                <w:szCs w:val="20"/>
              </w:rPr>
              <w:t xml:space="preserve">=1: </w:t>
            </w:r>
          </w:p>
          <w:p w:rsidR="00352FF1" w:rsidRPr="0056052B" w:rsidRDefault="00352FF1" w:rsidP="00352FF1">
            <w:pPr>
              <w:pStyle w:val="ListParagraph"/>
              <w:numPr>
                <w:ilvl w:val="0"/>
                <w:numId w:val="1018"/>
              </w:numPr>
              <w:snapToGrid w:val="0"/>
              <w:ind w:leftChars="0" w:left="400" w:hanging="400"/>
              <w:rPr>
                <w:rFonts w:eastAsia="Calibri"/>
                <w:szCs w:val="20"/>
              </w:rPr>
            </w:pPr>
            <w:r w:rsidRPr="0056052B">
              <w:rPr>
                <w:iCs/>
                <w:szCs w:val="20"/>
              </w:rPr>
              <w:t>The UCI parameters are captured in the tables below:</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75"/>
              <w:gridCol w:w="4725"/>
            </w:tblGrid>
            <w:tr w:rsidR="00352FF1" w:rsidRPr="0056052B" w:rsidTr="006B4EF6">
              <w:trPr>
                <w:trHeight w:val="246"/>
              </w:trPr>
              <w:tc>
                <w:tcPr>
                  <w:tcW w:w="1875" w:type="dxa"/>
                  <w:shd w:val="clear" w:color="auto" w:fill="BFBFBF"/>
                </w:tcPr>
                <w:p w:rsidR="00352FF1" w:rsidRPr="0056052B" w:rsidRDefault="00352FF1" w:rsidP="00352FF1">
                  <w:pPr>
                    <w:snapToGrid w:val="0"/>
                    <w:rPr>
                      <w:sz w:val="20"/>
                      <w:szCs w:val="20"/>
                    </w:rPr>
                  </w:pPr>
                  <w:r w:rsidRPr="0056052B">
                    <w:rPr>
                      <w:sz w:val="20"/>
                      <w:szCs w:val="20"/>
                    </w:rPr>
                    <w:t>Parameter</w:t>
                  </w:r>
                </w:p>
              </w:tc>
              <w:tc>
                <w:tcPr>
                  <w:tcW w:w="4725" w:type="dxa"/>
                  <w:shd w:val="clear" w:color="auto" w:fill="BFBFBF"/>
                </w:tcPr>
                <w:p w:rsidR="00352FF1" w:rsidRPr="0056052B" w:rsidRDefault="00352FF1" w:rsidP="00352FF1">
                  <w:pPr>
                    <w:snapToGrid w:val="0"/>
                    <w:rPr>
                      <w:sz w:val="20"/>
                      <w:szCs w:val="20"/>
                    </w:rPr>
                  </w:pPr>
                  <w:r w:rsidRPr="0056052B">
                    <w:rPr>
                      <w:sz w:val="20"/>
                      <w:szCs w:val="20"/>
                    </w:rPr>
                    <w:t>Details/description</w:t>
                  </w:r>
                </w:p>
              </w:tc>
            </w:tr>
            <w:tr w:rsidR="00352FF1" w:rsidRPr="0056052B" w:rsidTr="006B4EF6">
              <w:trPr>
                <w:trHeight w:val="262"/>
              </w:trPr>
              <w:tc>
                <w:tcPr>
                  <w:tcW w:w="1875" w:type="dxa"/>
                  <w:shd w:val="clear" w:color="auto" w:fill="auto"/>
                </w:tcPr>
                <w:p w:rsidR="00352FF1" w:rsidRPr="0056052B" w:rsidRDefault="00352FF1" w:rsidP="00352FF1">
                  <w:pPr>
                    <w:snapToGrid w:val="0"/>
                    <w:rPr>
                      <w:sz w:val="20"/>
                      <w:szCs w:val="20"/>
                    </w:rPr>
                  </w:pPr>
                  <w:r w:rsidRPr="0056052B">
                    <w:rPr>
                      <w:sz w:val="20"/>
                      <w:szCs w:val="20"/>
                    </w:rPr>
                    <w:t>nref</w:t>
                  </w:r>
                </w:p>
              </w:tc>
              <w:tc>
                <w:tcPr>
                  <w:tcW w:w="4725" w:type="dxa"/>
                  <w:shd w:val="clear" w:color="auto" w:fill="auto"/>
                </w:tcPr>
                <w:p w:rsidR="00352FF1" w:rsidRPr="0056052B" w:rsidRDefault="00352FF1" w:rsidP="00352FF1">
                  <w:pPr>
                    <w:snapToGrid w:val="0"/>
                    <w:rPr>
                      <w:sz w:val="20"/>
                      <w:szCs w:val="20"/>
                    </w:rPr>
                  </w:pPr>
                  <w:r w:rsidRPr="0056052B">
                    <w:rPr>
                      <w:rFonts w:eastAsia="Calibri"/>
                      <w:sz w:val="20"/>
                      <w:szCs w:val="20"/>
                    </w:rPr>
                    <w:t xml:space="preserve">Reference CSI-RS resource index, based on the ordering from RRC configuration: </w:t>
                  </w:r>
                  <m:oMath>
                    <m:d>
                      <m:dPr>
                        <m:begChr m:val="⌈"/>
                        <m:endChr m:val="⌉"/>
                        <m:ctrlPr>
                          <w:rPr>
                            <w:rFonts w:ascii="Cambria Math" w:eastAsia="Calibri" w:hAnsi="Cambria Math"/>
                            <w:i/>
                            <w:sz w:val="20"/>
                            <w:szCs w:val="20"/>
                          </w:rPr>
                        </m:ctrlPr>
                      </m:dPr>
                      <m:e>
                        <m:r>
                          <w:rPr>
                            <w:rFonts w:ascii="Cambria Math" w:eastAsia="Calibri" w:hAnsi="Cambria Math"/>
                            <w:sz w:val="20"/>
                            <w:szCs w:val="20"/>
                          </w:rPr>
                          <m:t>log</m:t>
                        </m:r>
                        <m:d>
                          <m:dPr>
                            <m:ctrlPr>
                              <w:rPr>
                                <w:rFonts w:ascii="Cambria Math" w:eastAsia="Calibri" w:hAnsi="Cambria Math"/>
                                <w:i/>
                                <w:sz w:val="20"/>
                                <w:szCs w:val="20"/>
                              </w:rPr>
                            </m:ctrlPr>
                          </m:dPr>
                          <m:e>
                            <m:sSub>
                              <m:sSubPr>
                                <m:ctrlPr>
                                  <w:rPr>
                                    <w:rFonts w:ascii="Cambria Math" w:eastAsia="Calibri" w:hAnsi="Cambria Math"/>
                                    <w:i/>
                                    <w:sz w:val="20"/>
                                    <w:szCs w:val="20"/>
                                  </w:rPr>
                                </m:ctrlPr>
                              </m:sSubPr>
                              <m:e>
                                <m:r>
                                  <w:rPr>
                                    <w:rFonts w:ascii="Cambria Math" w:eastAsia="Calibri" w:hAnsi="Cambria Math"/>
                                    <w:sz w:val="20"/>
                                    <w:szCs w:val="20"/>
                                  </w:rPr>
                                  <m:t>N</m:t>
                                </m:r>
                              </m:e>
                              <m:sub>
                                <m:r>
                                  <w:rPr>
                                    <w:rFonts w:ascii="Cambria Math" w:eastAsia="Calibri" w:hAnsi="Cambria Math"/>
                                    <w:sz w:val="20"/>
                                    <w:szCs w:val="20"/>
                                  </w:rPr>
                                  <m:t>TRP</m:t>
                                </m:r>
                              </m:sub>
                            </m:sSub>
                          </m:e>
                        </m:d>
                      </m:e>
                    </m:d>
                  </m:oMath>
                  <w:r w:rsidRPr="0056052B">
                    <w:rPr>
                      <w:rFonts w:eastAsia="Calibri"/>
                      <w:sz w:val="20"/>
                      <w:szCs w:val="20"/>
                    </w:rPr>
                    <w:t xml:space="preserve"> bits</w:t>
                  </w:r>
                </w:p>
              </w:tc>
            </w:tr>
            <w:tr w:rsidR="00352FF1" w:rsidRPr="0056052B" w:rsidTr="006B4EF6">
              <w:trPr>
                <w:trHeight w:val="246"/>
              </w:trPr>
              <w:tc>
                <w:tcPr>
                  <w:tcW w:w="1875" w:type="dxa"/>
                  <w:shd w:val="clear" w:color="auto" w:fill="auto"/>
                </w:tcPr>
                <w:p w:rsidR="00352FF1" w:rsidRPr="0056052B" w:rsidRDefault="00352FF1" w:rsidP="00352FF1">
                  <w:pPr>
                    <w:snapToGrid w:val="0"/>
                    <w:rPr>
                      <w:sz w:val="20"/>
                      <w:szCs w:val="20"/>
                      <w:lang w:val="pt-BR"/>
                    </w:rPr>
                  </w:pPr>
                  <w:r w:rsidRPr="0056052B">
                    <w:rPr>
                      <w:sz w:val="20"/>
                      <w:szCs w:val="20"/>
                      <w:lang w:val="pt-BR"/>
                    </w:rPr>
                    <w:t>{</w:t>
                  </w:r>
                  <w:r w:rsidRPr="0056052B">
                    <w:rPr>
                      <w:rFonts w:ascii="Symbol" w:eastAsia="Calibri" w:hAnsi="Symbol"/>
                      <w:sz w:val="20"/>
                      <w:szCs w:val="20"/>
                    </w:rPr>
                    <w:t></w:t>
                  </w:r>
                  <w:r w:rsidRPr="0056052B">
                    <w:rPr>
                      <w:rFonts w:eastAsia="Calibri"/>
                      <w:sz w:val="20"/>
                      <w:szCs w:val="20"/>
                      <w:vertAlign w:val="subscript"/>
                    </w:rPr>
                    <w:t>n</w:t>
                  </w:r>
                  <w:r w:rsidRPr="0056052B">
                    <w:rPr>
                      <w:rFonts w:eastAsia="Calibri"/>
                      <w:sz w:val="20"/>
                      <w:szCs w:val="20"/>
                    </w:rPr>
                    <w:t>,</w:t>
                  </w:r>
                </w:p>
                <w:p w:rsidR="00352FF1" w:rsidRPr="0056052B" w:rsidRDefault="00352FF1" w:rsidP="00352FF1">
                  <w:pPr>
                    <w:snapToGrid w:val="0"/>
                    <w:rPr>
                      <w:sz w:val="20"/>
                      <w:szCs w:val="20"/>
                      <w:lang w:val="pt-BR"/>
                    </w:rPr>
                  </w:pPr>
                  <w:r w:rsidRPr="0056052B">
                    <w:rPr>
                      <w:sz w:val="20"/>
                      <w:szCs w:val="20"/>
                      <w:lang w:val="pt-BR"/>
                    </w:rPr>
                    <w:t>n=0, 1, …, N</w:t>
                  </w:r>
                  <w:r w:rsidRPr="0056052B">
                    <w:rPr>
                      <w:sz w:val="20"/>
                      <w:szCs w:val="20"/>
                      <w:vertAlign w:val="subscript"/>
                      <w:lang w:val="pt-BR"/>
                    </w:rPr>
                    <w:t>TRP</w:t>
                  </w:r>
                  <w:r w:rsidRPr="0056052B">
                    <w:rPr>
                      <w:sz w:val="20"/>
                      <w:szCs w:val="20"/>
                      <w:lang w:val="pt-BR"/>
                    </w:rPr>
                    <w:t xml:space="preserve"> –1, n≠nref} </w:t>
                  </w:r>
                </w:p>
              </w:tc>
              <w:tc>
                <w:tcPr>
                  <w:tcW w:w="4725" w:type="dxa"/>
                  <w:shd w:val="clear" w:color="auto" w:fill="auto"/>
                </w:tcPr>
                <w:p w:rsidR="00352FF1" w:rsidRPr="0056052B" w:rsidRDefault="00352FF1" w:rsidP="00352FF1">
                  <w:pPr>
                    <w:snapToGrid w:val="0"/>
                    <w:rPr>
                      <w:sz w:val="20"/>
                      <w:szCs w:val="20"/>
                    </w:rPr>
                  </w:pPr>
                  <w:r w:rsidRPr="0056052B">
                    <w:rPr>
                      <w:sz w:val="20"/>
                      <w:szCs w:val="20"/>
                    </w:rPr>
                    <w:t xml:space="preserve">DL/UL phase offset for CSI-RS resource n: </w:t>
                  </w:r>
                </w:p>
                <w:p w:rsidR="00352FF1" w:rsidRPr="0056052B" w:rsidRDefault="00000000" w:rsidP="00352FF1">
                  <w:pPr>
                    <w:snapToGrid w:val="0"/>
                    <w:rPr>
                      <w:sz w:val="20"/>
                      <w:szCs w:val="20"/>
                    </w:rPr>
                  </w:pPr>
                  <m:oMath>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TRP</m:t>
                            </m:r>
                          </m:sub>
                        </m:sSub>
                        <m:r>
                          <w:rPr>
                            <w:rFonts w:ascii="Cambria Math" w:hAnsi="Cambria Math"/>
                            <w:sz w:val="20"/>
                            <w:szCs w:val="20"/>
                          </w:rPr>
                          <m:t>-1</m:t>
                        </m:r>
                      </m:e>
                    </m:d>
                    <m:d>
                      <m:dPr>
                        <m:begChr m:val="⌈"/>
                        <m:endChr m:val="⌉"/>
                        <m:ctrlPr>
                          <w:rPr>
                            <w:rFonts w:ascii="Cambria Math" w:eastAsia="Calibri" w:hAnsi="Cambria Math"/>
                            <w:i/>
                            <w:sz w:val="20"/>
                            <w:szCs w:val="20"/>
                          </w:rPr>
                        </m:ctrlPr>
                      </m:dPr>
                      <m:e>
                        <m:r>
                          <m:rPr>
                            <m:sty m:val="p"/>
                          </m:rPr>
                          <w:rPr>
                            <w:rFonts w:ascii="Cambria Math" w:eastAsia="Calibri" w:hAnsi="Cambria Math"/>
                            <w:sz w:val="20"/>
                            <w:szCs w:val="20"/>
                          </w:rPr>
                          <m:t>log</m:t>
                        </m:r>
                        <m:d>
                          <m:dPr>
                            <m:ctrlPr>
                              <w:rPr>
                                <w:rFonts w:ascii="Cambria Math" w:eastAsia="Calibri" w:hAnsi="Cambria Math"/>
                                <w:i/>
                                <w:sz w:val="20"/>
                                <w:szCs w:val="20"/>
                              </w:rPr>
                            </m:ctrlPr>
                          </m:dPr>
                          <m:e>
                            <m:sSub>
                              <m:sSubPr>
                                <m:ctrlPr>
                                  <w:rPr>
                                    <w:rFonts w:ascii="Cambria Math" w:eastAsia="Calibri" w:hAnsi="Cambria Math"/>
                                    <w:i/>
                                    <w:sz w:val="20"/>
                                    <w:szCs w:val="20"/>
                                  </w:rPr>
                                </m:ctrlPr>
                              </m:sSubPr>
                              <m:e>
                                <m:r>
                                  <w:rPr>
                                    <w:rFonts w:ascii="Cambria Math" w:eastAsia="Calibri" w:hAnsi="Cambria Math"/>
                                    <w:sz w:val="20"/>
                                    <w:szCs w:val="20"/>
                                  </w:rPr>
                                  <m:t>M</m:t>
                                </m:r>
                              </m:e>
                              <m:sub>
                                <m:r>
                                  <m:rPr>
                                    <m:sty m:val="p"/>
                                  </m:rPr>
                                  <w:rPr>
                                    <w:rFonts w:ascii="Cambria Math" w:eastAsia="Calibri" w:hAnsi="Cambria Math"/>
                                    <w:sz w:val="20"/>
                                    <w:szCs w:val="20"/>
                                  </w:rPr>
                                  <m:t>Φ</m:t>
                                </m:r>
                              </m:sub>
                            </m:sSub>
                          </m:e>
                        </m:d>
                      </m:e>
                    </m:d>
                  </m:oMath>
                  <w:r w:rsidR="00352FF1" w:rsidRPr="0056052B">
                    <w:rPr>
                      <w:rFonts w:eastAsia="Calibri"/>
                      <w:sz w:val="20"/>
                      <w:szCs w:val="20"/>
                    </w:rPr>
                    <w:t xml:space="preserve"> bits</w:t>
                  </w:r>
                </w:p>
              </w:tc>
            </w:tr>
          </w:tbl>
          <w:p w:rsidR="00352FF1" w:rsidRPr="0056052B" w:rsidRDefault="00352FF1" w:rsidP="00352FF1">
            <w:pPr>
              <w:numPr>
                <w:ilvl w:val="0"/>
                <w:numId w:val="986"/>
              </w:numPr>
              <w:snapToGrid w:val="0"/>
              <w:rPr>
                <w:rFonts w:eastAsia="Malgun Gothic"/>
                <w:i/>
                <w:sz w:val="20"/>
                <w:szCs w:val="20"/>
              </w:rPr>
            </w:pPr>
            <w:r w:rsidRPr="0056052B">
              <w:rPr>
                <w:rFonts w:eastAsia="Malgun Gothic"/>
                <w:sz w:val="20"/>
                <w:szCs w:val="20"/>
              </w:rPr>
              <w:t>The UCI mapping order is as follows</w:t>
            </w:r>
            <w:r w:rsidRPr="0056052B">
              <w:rPr>
                <w:sz w:val="20"/>
                <w:szCs w:val="20"/>
              </w:rPr>
              <w:t>:</w:t>
            </w:r>
          </w:p>
          <w:p w:rsidR="00352FF1" w:rsidRPr="0056052B" w:rsidRDefault="00352FF1" w:rsidP="00352FF1">
            <w:pPr>
              <w:numPr>
                <w:ilvl w:val="1"/>
                <w:numId w:val="986"/>
              </w:numPr>
              <w:snapToGrid w:val="0"/>
              <w:rPr>
                <w:rFonts w:eastAsia="Malgun Gothic"/>
                <w:i/>
                <w:sz w:val="20"/>
                <w:szCs w:val="20"/>
              </w:rPr>
            </w:pPr>
            <w:r w:rsidRPr="0056052B">
              <w:rPr>
                <w:rFonts w:eastAsia="SimSun"/>
                <w:sz w:val="20"/>
                <w:szCs w:val="20"/>
              </w:rPr>
              <w:t xml:space="preserve">nref, </w:t>
            </w:r>
          </w:p>
          <w:p w:rsidR="00352FF1" w:rsidRPr="0056052B" w:rsidRDefault="00352FF1" w:rsidP="00352FF1">
            <w:pPr>
              <w:numPr>
                <w:ilvl w:val="1"/>
                <w:numId w:val="986"/>
              </w:numPr>
              <w:snapToGrid w:val="0"/>
              <w:rPr>
                <w:rFonts w:eastAsia="Malgun Gothic"/>
                <w:i/>
                <w:sz w:val="20"/>
                <w:szCs w:val="20"/>
              </w:rPr>
            </w:pPr>
            <w:r w:rsidRPr="0056052B">
              <w:rPr>
                <w:rFonts w:eastAsia="SimSun"/>
                <w:sz w:val="20"/>
                <w:szCs w:val="20"/>
              </w:rPr>
              <w:t>{</w:t>
            </w:r>
            <w:r w:rsidRPr="0056052B">
              <w:rPr>
                <w:rFonts w:ascii="Symbol" w:eastAsia="Calibri" w:hAnsi="Symbol"/>
                <w:sz w:val="20"/>
                <w:szCs w:val="20"/>
              </w:rPr>
              <w:t></w:t>
            </w:r>
            <w:r w:rsidRPr="0056052B">
              <w:rPr>
                <w:rFonts w:eastAsia="SimSun"/>
                <w:sz w:val="20"/>
                <w:szCs w:val="20"/>
                <w:vertAlign w:val="subscript"/>
              </w:rPr>
              <w:t>n</w:t>
            </w:r>
            <w:r w:rsidRPr="0056052B">
              <w:rPr>
                <w:rFonts w:eastAsia="SimSun"/>
                <w:sz w:val="20"/>
                <w:szCs w:val="20"/>
              </w:rPr>
              <w:t>, n=0, 1, …, N</w:t>
            </w:r>
            <w:r w:rsidRPr="0056052B">
              <w:rPr>
                <w:rFonts w:eastAsia="SimSun"/>
                <w:sz w:val="20"/>
                <w:szCs w:val="20"/>
                <w:vertAlign w:val="subscript"/>
              </w:rPr>
              <w:t>TRP</w:t>
            </w:r>
            <w:r w:rsidRPr="0056052B">
              <w:rPr>
                <w:rFonts w:eastAsia="SimSun"/>
                <w:sz w:val="20"/>
                <w:szCs w:val="20"/>
              </w:rPr>
              <w:t xml:space="preserve"> – 1, n≠nref} ordered from the lowest to highest CSI-RS resource ID </w:t>
            </w:r>
          </w:p>
          <w:p w:rsidR="00352FF1" w:rsidRPr="002B690E" w:rsidRDefault="00352FF1" w:rsidP="00352FF1">
            <w:pPr>
              <w:rPr>
                <w:iCs/>
                <w:sz w:val="20"/>
                <w:szCs w:val="20"/>
                <w:lang w:eastAsia="x-none"/>
              </w:rPr>
            </w:pPr>
          </w:p>
          <w:p w:rsidR="00352FF1" w:rsidRPr="002B690E" w:rsidRDefault="00352FF1" w:rsidP="00352FF1">
            <w:pPr>
              <w:rPr>
                <w:b/>
                <w:bCs/>
                <w:sz w:val="20"/>
                <w:szCs w:val="20"/>
              </w:rPr>
            </w:pPr>
            <w:r w:rsidRPr="002B690E">
              <w:rPr>
                <w:b/>
                <w:bCs/>
                <w:sz w:val="20"/>
                <w:szCs w:val="20"/>
                <w:highlight w:val="green"/>
              </w:rPr>
              <w:t>Agreement</w:t>
            </w:r>
          </w:p>
          <w:p w:rsidR="00352FF1" w:rsidRPr="002B690E" w:rsidRDefault="00352FF1" w:rsidP="00352FF1">
            <w:pPr>
              <w:snapToGrid w:val="0"/>
              <w:jc w:val="both"/>
              <w:rPr>
                <w:iCs/>
                <w:sz w:val="20"/>
                <w:szCs w:val="20"/>
              </w:rPr>
            </w:pPr>
            <w:r w:rsidRPr="002B690E">
              <w:rPr>
                <w:iCs/>
                <w:sz w:val="20"/>
                <w:szCs w:val="20"/>
              </w:rPr>
              <w:t>For the Rel-19 CRI-based CSI refinement for up to 128 CSI-RS ports, regarding timeline:</w:t>
            </w:r>
          </w:p>
          <w:p w:rsidR="00352FF1" w:rsidRPr="002B690E" w:rsidRDefault="00352FF1" w:rsidP="00352FF1">
            <w:pPr>
              <w:pStyle w:val="ListParagraph"/>
              <w:numPr>
                <w:ilvl w:val="0"/>
                <w:numId w:val="846"/>
              </w:numPr>
              <w:snapToGrid w:val="0"/>
              <w:ind w:leftChars="0" w:left="400" w:hanging="400"/>
              <w:jc w:val="both"/>
              <w:rPr>
                <w:rFonts w:ascii="Times New Roman" w:eastAsia="Malgun Gothic" w:hAnsi="Times New Roman"/>
                <w:szCs w:val="20"/>
              </w:rPr>
            </w:pPr>
            <w:r w:rsidRPr="002B690E">
              <w:rPr>
                <w:rFonts w:ascii="Times New Roman" w:eastAsia="Malgun Gothic" w:hAnsi="Times New Roman"/>
                <w:szCs w:val="20"/>
              </w:rPr>
              <w:t>Multiply legacy Z’ by a factor of 2</w:t>
            </w:r>
          </w:p>
          <w:p w:rsidR="00352FF1" w:rsidRPr="002B690E" w:rsidRDefault="00352FF1" w:rsidP="00352FF1">
            <w:pPr>
              <w:pStyle w:val="ListParagraph"/>
              <w:numPr>
                <w:ilvl w:val="0"/>
                <w:numId w:val="846"/>
              </w:numPr>
              <w:snapToGrid w:val="0"/>
              <w:ind w:leftChars="0" w:left="400" w:hanging="400"/>
              <w:jc w:val="both"/>
              <w:rPr>
                <w:rFonts w:ascii="Times New Roman" w:eastAsia="Malgun Gothic" w:hAnsi="Times New Roman"/>
                <w:szCs w:val="20"/>
              </w:rPr>
            </w:pPr>
            <w:r w:rsidRPr="002B690E">
              <w:rPr>
                <w:rFonts w:ascii="Times New Roman" w:eastAsia="Malgun Gothic" w:hAnsi="Times New Roman"/>
                <w:szCs w:val="20"/>
              </w:rPr>
              <w:t>Multiply legacy Z by a factor of 2</w:t>
            </w:r>
          </w:p>
          <w:p w:rsidR="00352FF1" w:rsidRPr="002B690E" w:rsidRDefault="00352FF1" w:rsidP="00352FF1">
            <w:pPr>
              <w:pStyle w:val="ListParagraph"/>
              <w:snapToGrid w:val="0"/>
              <w:ind w:left="1360" w:hanging="400"/>
              <w:jc w:val="both"/>
              <w:rPr>
                <w:rFonts w:ascii="Times New Roman" w:hAnsi="Times New Roman"/>
                <w:iCs/>
                <w:szCs w:val="20"/>
              </w:rPr>
            </w:pPr>
          </w:p>
          <w:p w:rsidR="00352FF1" w:rsidRPr="002B690E" w:rsidRDefault="00352FF1" w:rsidP="00352FF1">
            <w:pPr>
              <w:rPr>
                <w:b/>
                <w:bCs/>
                <w:sz w:val="20"/>
                <w:szCs w:val="20"/>
              </w:rPr>
            </w:pPr>
            <w:r w:rsidRPr="002B690E">
              <w:rPr>
                <w:b/>
                <w:bCs/>
                <w:sz w:val="20"/>
                <w:szCs w:val="20"/>
                <w:highlight w:val="green"/>
              </w:rPr>
              <w:t>Agreement</w:t>
            </w:r>
          </w:p>
          <w:p w:rsidR="00352FF1" w:rsidRPr="002B690E" w:rsidRDefault="00352FF1" w:rsidP="00352FF1">
            <w:pPr>
              <w:snapToGrid w:val="0"/>
              <w:rPr>
                <w:strike/>
                <w:sz w:val="20"/>
                <w:szCs w:val="20"/>
              </w:rPr>
            </w:pPr>
            <w:r w:rsidRPr="002B690E">
              <w:rPr>
                <w:rFonts w:eastAsia="Calibri"/>
                <w:sz w:val="20"/>
                <w:szCs w:val="20"/>
              </w:rPr>
              <w:t xml:space="preserve">For the Rel-19 aperiodic standalone CJT calibration (CJTC) reporting, to facilitate UE-specific </w:t>
            </w:r>
            <w:r w:rsidRPr="002B690E">
              <w:rPr>
                <w:sz w:val="20"/>
                <w:szCs w:val="20"/>
              </w:rPr>
              <w:t xml:space="preserve">delay offset pre-compensation on PDSCH by the NW, support configuring a UE (via RRC signaling) to perform PMI calculation for the Rel-18 eType-II CJT CSI report assuming pre-compensation using the UE-reported delay offset (when ReportQuantity is ‘cjtc-Dd’). </w:t>
            </w:r>
          </w:p>
          <w:p w:rsidR="00352FF1" w:rsidRPr="002B690E" w:rsidRDefault="00352FF1" w:rsidP="00352FF1">
            <w:pPr>
              <w:numPr>
                <w:ilvl w:val="0"/>
                <w:numId w:val="983"/>
              </w:numPr>
              <w:snapToGrid w:val="0"/>
              <w:rPr>
                <w:rFonts w:eastAsia="SimSun"/>
                <w:sz w:val="20"/>
                <w:szCs w:val="20"/>
              </w:rPr>
            </w:pPr>
            <w:r w:rsidRPr="002B690E">
              <w:rPr>
                <w:rFonts w:eastAsia="SimSun"/>
                <w:sz w:val="20"/>
                <w:szCs w:val="20"/>
              </w:rPr>
              <w:t>The two separately configured reports (i.e. Rel-18 eType-II CJT CSI report and the CJTC delay offset report) can be separately or jointly triggered [and carried on a same PUSCH (hence on a same slot)] following legacy joint triggering mechanism</w:t>
            </w:r>
          </w:p>
          <w:p w:rsidR="00352FF1" w:rsidRPr="002B690E" w:rsidRDefault="00352FF1" w:rsidP="00352FF1">
            <w:pPr>
              <w:numPr>
                <w:ilvl w:val="1"/>
                <w:numId w:val="983"/>
              </w:numPr>
              <w:snapToGrid w:val="0"/>
              <w:rPr>
                <w:rFonts w:eastAsia="SimSun"/>
                <w:sz w:val="20"/>
                <w:szCs w:val="20"/>
              </w:rPr>
            </w:pPr>
            <w:r w:rsidRPr="002B690E">
              <w:rPr>
                <w:rFonts w:eastAsia="SimSun"/>
                <w:bCs/>
                <w:sz w:val="20"/>
                <w:szCs w:val="20"/>
              </w:rPr>
              <w:t>(</w:t>
            </w:r>
            <w:r w:rsidRPr="002B690E">
              <w:rPr>
                <w:rFonts w:eastAsia="SimSun"/>
                <w:bCs/>
                <w:sz w:val="20"/>
                <w:szCs w:val="20"/>
                <w:highlight w:val="darkYellow"/>
              </w:rPr>
              <w:t>Working Assumption</w:t>
            </w:r>
            <w:r w:rsidRPr="002B690E">
              <w:rPr>
                <w:rFonts w:eastAsia="SimSun"/>
                <w:bCs/>
                <w:sz w:val="20"/>
                <w:szCs w:val="20"/>
              </w:rPr>
              <w:t>) When separately triggered, the delay offset value to be compensated is the latest reported delay offset (DO) whose reporting instance’s last symbol is before the first symbol of DCI triggering of the CJT CSI reporting</w:t>
            </w:r>
          </w:p>
          <w:p w:rsidR="00352FF1" w:rsidRPr="002B690E" w:rsidRDefault="00352FF1" w:rsidP="00352FF1">
            <w:pPr>
              <w:numPr>
                <w:ilvl w:val="2"/>
                <w:numId w:val="983"/>
              </w:numPr>
              <w:snapToGrid w:val="0"/>
              <w:rPr>
                <w:rFonts w:eastAsia="SimSun"/>
                <w:sz w:val="20"/>
                <w:szCs w:val="20"/>
              </w:rPr>
            </w:pPr>
            <w:r w:rsidRPr="002B690E">
              <w:rPr>
                <w:rFonts w:eastAsia="SimSun"/>
                <w:sz w:val="20"/>
                <w:szCs w:val="20"/>
              </w:rPr>
              <w:t>FFS: whether some expiration time interval is needed</w:t>
            </w:r>
          </w:p>
          <w:p w:rsidR="00352FF1" w:rsidRPr="002B690E" w:rsidRDefault="00352FF1" w:rsidP="00352FF1">
            <w:pPr>
              <w:numPr>
                <w:ilvl w:val="1"/>
                <w:numId w:val="983"/>
              </w:numPr>
              <w:snapToGrid w:val="0"/>
              <w:rPr>
                <w:rFonts w:eastAsia="SimSun"/>
                <w:sz w:val="20"/>
                <w:szCs w:val="20"/>
              </w:rPr>
            </w:pPr>
            <w:r w:rsidRPr="002B690E">
              <w:rPr>
                <w:rFonts w:eastAsia="SimSun"/>
                <w:bCs/>
                <w:sz w:val="20"/>
                <w:szCs w:val="20"/>
              </w:rPr>
              <w:t>(</w:t>
            </w:r>
            <w:r w:rsidRPr="002B690E">
              <w:rPr>
                <w:rFonts w:eastAsia="SimSun"/>
                <w:bCs/>
                <w:sz w:val="20"/>
                <w:szCs w:val="20"/>
                <w:highlight w:val="darkYellow"/>
              </w:rPr>
              <w:t>Working Assumption</w:t>
            </w:r>
            <w:r w:rsidRPr="002B690E">
              <w:rPr>
                <w:rFonts w:eastAsia="SimSun"/>
                <w:bCs/>
                <w:sz w:val="20"/>
                <w:szCs w:val="20"/>
              </w:rPr>
              <w:t xml:space="preserve">) When jointly triggered, the delay offset value to be compensated is the reported delay offset (DO) in the same reporting instance </w:t>
            </w:r>
          </w:p>
          <w:p w:rsidR="00352FF1" w:rsidRPr="002B690E" w:rsidRDefault="00352FF1" w:rsidP="00352FF1">
            <w:pPr>
              <w:snapToGrid w:val="0"/>
              <w:rPr>
                <w:sz w:val="20"/>
                <w:szCs w:val="20"/>
              </w:rPr>
            </w:pPr>
            <w:r w:rsidRPr="002B690E">
              <w:rPr>
                <w:sz w:val="20"/>
                <w:szCs w:val="20"/>
              </w:rPr>
              <w:t>FFS: NW indicates the delay offset value to be compensated for the Rel-18 eType-II CJT CSI report</w:t>
            </w:r>
          </w:p>
          <w:p w:rsidR="00352FF1" w:rsidRPr="002B690E" w:rsidRDefault="00352FF1" w:rsidP="00352FF1">
            <w:pPr>
              <w:snapToGrid w:val="0"/>
              <w:rPr>
                <w:sz w:val="20"/>
                <w:szCs w:val="20"/>
              </w:rPr>
            </w:pPr>
            <w:r w:rsidRPr="002B690E">
              <w:rPr>
                <w:sz w:val="20"/>
                <w:szCs w:val="20"/>
              </w:rPr>
              <w:t xml:space="preserve">FFS: Whether only AP-CSI-RS, or any type of CSI-RS (P, SP, or AP) can be configured as the CMR for the Rel-18 eType-II CJT reporting </w:t>
            </w:r>
          </w:p>
          <w:p w:rsidR="00352FF1" w:rsidRPr="002B690E" w:rsidRDefault="00352FF1" w:rsidP="00352FF1">
            <w:pPr>
              <w:snapToGrid w:val="0"/>
              <w:rPr>
                <w:sz w:val="20"/>
                <w:szCs w:val="20"/>
              </w:rPr>
            </w:pPr>
            <w:r w:rsidRPr="002B690E">
              <w:rPr>
                <w:sz w:val="20"/>
                <w:szCs w:val="20"/>
              </w:rPr>
              <w:t xml:space="preserve">FFS: Support for SP-CSI for CJTC report </w:t>
            </w:r>
          </w:p>
          <w:p w:rsidR="00352FF1" w:rsidRPr="002B690E" w:rsidRDefault="00352FF1" w:rsidP="00352FF1">
            <w:pPr>
              <w:snapToGrid w:val="0"/>
              <w:rPr>
                <w:sz w:val="20"/>
                <w:szCs w:val="20"/>
              </w:rPr>
            </w:pPr>
            <w:r w:rsidRPr="002B690E">
              <w:rPr>
                <w:sz w:val="20"/>
                <w:szCs w:val="20"/>
              </w:rPr>
              <w:t>FFS: Whether this is also applicable for Rel-19 Type-I MP codebook</w:t>
            </w:r>
          </w:p>
          <w:p w:rsidR="00352FF1" w:rsidRPr="002B690E" w:rsidRDefault="00352FF1" w:rsidP="00352FF1">
            <w:pPr>
              <w:snapToGrid w:val="0"/>
              <w:rPr>
                <w:sz w:val="20"/>
                <w:szCs w:val="20"/>
              </w:rPr>
            </w:pPr>
            <w:r w:rsidRPr="002B690E">
              <w:rPr>
                <w:sz w:val="20"/>
                <w:szCs w:val="20"/>
              </w:rPr>
              <w:t>The above only applies when the CMRs do not share common QCL source for average delay indication</w:t>
            </w:r>
          </w:p>
          <w:p w:rsidR="00352FF1" w:rsidRPr="002B690E" w:rsidRDefault="00352FF1" w:rsidP="00352FF1">
            <w:pPr>
              <w:snapToGrid w:val="0"/>
              <w:rPr>
                <w:sz w:val="20"/>
                <w:szCs w:val="20"/>
              </w:rPr>
            </w:pPr>
            <w:r w:rsidRPr="002B690E">
              <w:rPr>
                <w:sz w:val="20"/>
                <w:szCs w:val="20"/>
              </w:rPr>
              <w:t>The above is UE optional feature.</w:t>
            </w:r>
          </w:p>
          <w:p w:rsidR="00352FF1" w:rsidRPr="002B690E" w:rsidRDefault="00352FF1" w:rsidP="00352FF1">
            <w:pPr>
              <w:rPr>
                <w:iCs/>
                <w:sz w:val="20"/>
                <w:szCs w:val="20"/>
                <w:lang w:eastAsia="x-none"/>
              </w:rPr>
            </w:pPr>
          </w:p>
          <w:p w:rsidR="00352FF1" w:rsidRPr="002B690E" w:rsidRDefault="00352FF1" w:rsidP="00352FF1">
            <w:pPr>
              <w:rPr>
                <w:b/>
                <w:bCs/>
                <w:sz w:val="20"/>
                <w:szCs w:val="20"/>
                <w:highlight w:val="green"/>
                <w:lang w:eastAsia="x-none"/>
              </w:rPr>
            </w:pPr>
            <w:r w:rsidRPr="002B690E">
              <w:rPr>
                <w:b/>
                <w:bCs/>
                <w:sz w:val="20"/>
                <w:szCs w:val="20"/>
                <w:highlight w:val="green"/>
                <w:lang w:eastAsia="x-none"/>
              </w:rPr>
              <w:t>Agreement</w:t>
            </w:r>
          </w:p>
          <w:p w:rsidR="00352FF1" w:rsidRPr="002B690E" w:rsidRDefault="00352FF1" w:rsidP="00352FF1">
            <w:pPr>
              <w:widowControl w:val="0"/>
              <w:snapToGrid w:val="0"/>
              <w:jc w:val="both"/>
              <w:rPr>
                <w:rFonts w:eastAsia="Malgun Gothic"/>
                <w:sz w:val="20"/>
                <w:szCs w:val="20"/>
                <w:lang w:eastAsia="ja-JP"/>
              </w:rPr>
            </w:pPr>
            <w:r w:rsidRPr="002B690E">
              <w:rPr>
                <w:iCs/>
                <w:sz w:val="20"/>
                <w:szCs w:val="20"/>
              </w:rPr>
              <w:t xml:space="preserve">For the Rel-19 Type-I codebook refinement for 48, 64, and 128 CSI-RS ports, </w:t>
            </w:r>
            <w:r w:rsidRPr="002B690E">
              <w:rPr>
                <w:iCs/>
                <w:sz w:val="20"/>
                <w:szCs w:val="20"/>
                <w:u w:val="single"/>
              </w:rPr>
              <w:t>study</w:t>
            </w:r>
            <w:r w:rsidRPr="002B690E">
              <w:rPr>
                <w:iCs/>
                <w:sz w:val="20"/>
                <w:szCs w:val="20"/>
              </w:rPr>
              <w:t>, for RI=</w:t>
            </w:r>
            <w:r w:rsidRPr="002B690E">
              <w:rPr>
                <w:rFonts w:eastAsia="Malgun Gothic"/>
                <w:i/>
                <w:sz w:val="20"/>
                <w:szCs w:val="20"/>
                <w:lang w:eastAsia="ja-JP"/>
              </w:rPr>
              <w:t xml:space="preserve"> </w:t>
            </w:r>
            <m:oMath>
              <m:r>
                <w:rPr>
                  <w:rFonts w:ascii="Cambria Math" w:eastAsia="Malgun Gothic" w:hAnsi="Cambria Math"/>
                  <w:sz w:val="20"/>
                  <w:szCs w:val="20"/>
                  <w:lang w:eastAsia="ja-JP"/>
                </w:rPr>
                <m:t>ϑ</m:t>
              </m:r>
            </m:oMath>
            <w:r w:rsidRPr="002B690E">
              <w:rPr>
                <w:iCs/>
                <w:sz w:val="20"/>
                <w:szCs w:val="20"/>
              </w:rPr>
              <w:t xml:space="preserve"> &gt;1, applying the 3-bit scaling factor(s) as agreed in RAN1#117, where a per-layer scaling factor applied to the </w:t>
            </w:r>
            <m:oMath>
              <m:sSup>
                <m:sSupPr>
                  <m:ctrlPr>
                    <w:rPr>
                      <w:rFonts w:ascii="Cambria Math" w:hAnsi="Cambria Math"/>
                      <w:i/>
                      <w:iCs/>
                      <w:sz w:val="20"/>
                      <w:szCs w:val="20"/>
                    </w:rPr>
                  </m:ctrlPr>
                </m:sSupPr>
                <m:e>
                  <m:r>
                    <w:rPr>
                      <w:rFonts w:ascii="Cambria Math" w:hAnsi="Cambria Math"/>
                      <w:sz w:val="20"/>
                      <w:szCs w:val="20"/>
                    </w:rPr>
                    <m:t>i</m:t>
                  </m:r>
                </m:e>
                <m:sup>
                  <m:r>
                    <w:rPr>
                      <w:rFonts w:ascii="Cambria Math" w:hAnsi="Cambria Math"/>
                      <w:sz w:val="20"/>
                      <w:szCs w:val="20"/>
                    </w:rPr>
                    <m:t>th</m:t>
                  </m:r>
                </m:sup>
              </m:sSup>
            </m:oMath>
            <w:r w:rsidRPr="002B690E">
              <w:rPr>
                <w:rFonts w:eastAsia="Malgun Gothic"/>
                <w:iCs/>
                <w:sz w:val="20"/>
                <w:szCs w:val="20"/>
              </w:rPr>
              <w:t xml:space="preserve"> selected SD basis vector is given by e.g. </w:t>
            </w:r>
            <m:oMath>
              <m:r>
                <w:rPr>
                  <w:rFonts w:ascii="Cambria Math" w:eastAsia="Malgun Gothic" w:hAnsi="Cambria Math"/>
                  <w:sz w:val="20"/>
                  <w:szCs w:val="20"/>
                  <w:lang w:eastAsia="ja-JP"/>
                </w:rPr>
                <m:t>min</m:t>
              </m:r>
              <m:d>
                <m:dPr>
                  <m:begChr m:val="{"/>
                  <m:endChr m:val="}"/>
                  <m:ctrlPr>
                    <w:rPr>
                      <w:rFonts w:ascii="Cambria Math" w:eastAsia="Malgun Gothic" w:hAnsi="Cambria Math"/>
                      <w:i/>
                      <w:sz w:val="20"/>
                      <w:szCs w:val="20"/>
                      <w:lang w:eastAsia="ja-JP"/>
                    </w:rPr>
                  </m:ctrlPr>
                </m:dPr>
                <m:e>
                  <m:r>
                    <w:rPr>
                      <w:rFonts w:ascii="Cambria Math" w:eastAsia="Malgun Gothic" w:hAnsi="Cambria Math"/>
                      <w:sz w:val="20"/>
                      <w:szCs w:val="20"/>
                      <w:lang w:eastAsia="ja-JP"/>
                    </w:rPr>
                    <m:t>1,</m:t>
                  </m:r>
                  <m:f>
                    <m:fPr>
                      <m:ctrlPr>
                        <w:rPr>
                          <w:rFonts w:ascii="Cambria Math" w:eastAsia="Malgun Gothic" w:hAnsi="Cambria Math"/>
                          <w:i/>
                          <w:sz w:val="20"/>
                          <w:szCs w:val="20"/>
                          <w:lang w:eastAsia="ja-JP"/>
                        </w:rPr>
                      </m:ctrlPr>
                    </m:fPr>
                    <m:num>
                      <m:r>
                        <w:rPr>
                          <w:rFonts w:ascii="Cambria Math" w:eastAsia="Malgun Gothic" w:hAnsi="Cambria Math"/>
                          <w:sz w:val="20"/>
                          <w:szCs w:val="20"/>
                          <w:lang w:eastAsia="ja-JP"/>
                        </w:rPr>
                        <m:t>ϑ</m:t>
                      </m:r>
                      <m:sSubSup>
                        <m:sSubSupPr>
                          <m:ctrlPr>
                            <w:rPr>
                              <w:rFonts w:ascii="Cambria Math" w:eastAsia="Malgun Gothic" w:hAnsi="Cambria Math"/>
                              <w:i/>
                              <w:sz w:val="20"/>
                              <w:szCs w:val="20"/>
                              <w:lang w:eastAsia="ja-JP"/>
                            </w:rPr>
                          </m:ctrlPr>
                        </m:sSubSupPr>
                        <m:e>
                          <m:r>
                            <w:rPr>
                              <w:rFonts w:ascii="Cambria Math" w:eastAsia="Malgun Gothic" w:hAnsi="Cambria Math"/>
                              <w:sz w:val="20"/>
                              <w:szCs w:val="20"/>
                              <w:lang w:eastAsia="ja-JP"/>
                            </w:rPr>
                            <m:t>s</m:t>
                          </m:r>
                        </m:e>
                        <m:sub>
                          <m:r>
                            <w:rPr>
                              <w:rFonts w:ascii="Cambria Math" w:eastAsia="Malgun Gothic" w:hAnsi="Cambria Math"/>
                              <w:sz w:val="20"/>
                              <w:szCs w:val="20"/>
                              <w:lang w:eastAsia="ja-JP"/>
                            </w:rPr>
                            <m:t>i</m:t>
                          </m:r>
                        </m:sub>
                        <m:sup>
                          <m:r>
                            <w:rPr>
                              <w:rFonts w:ascii="Cambria Math" w:eastAsia="Malgun Gothic" w:hAnsi="Cambria Math"/>
                              <w:sz w:val="20"/>
                              <w:szCs w:val="20"/>
                              <w:lang w:eastAsia="ja-JP"/>
                            </w:rPr>
                            <m:t>2</m:t>
                          </m:r>
                        </m:sup>
                      </m:sSubSup>
                    </m:num>
                    <m:den>
                      <m:sSub>
                        <m:sSubPr>
                          <m:ctrlPr>
                            <w:rPr>
                              <w:rFonts w:ascii="Cambria Math" w:eastAsia="Malgun Gothic" w:hAnsi="Cambria Math"/>
                              <w:i/>
                              <w:sz w:val="20"/>
                              <w:szCs w:val="20"/>
                              <w:lang w:eastAsia="ja-JP"/>
                            </w:rPr>
                          </m:ctrlPr>
                        </m:sSubPr>
                        <m:e>
                          <m:r>
                            <w:rPr>
                              <w:rFonts w:ascii="Cambria Math" w:eastAsia="Malgun Gothic" w:hAnsi="Cambria Math"/>
                              <w:sz w:val="20"/>
                              <w:szCs w:val="20"/>
                              <w:lang w:eastAsia="ja-JP"/>
                            </w:rPr>
                            <m:t>r</m:t>
                          </m:r>
                        </m:e>
                        <m:sub>
                          <m:r>
                            <w:rPr>
                              <w:rFonts w:ascii="Cambria Math" w:eastAsia="Malgun Gothic" w:hAnsi="Cambria Math"/>
                              <w:sz w:val="20"/>
                              <w:szCs w:val="20"/>
                              <w:lang w:eastAsia="ja-JP"/>
                            </w:rPr>
                            <m:t>i</m:t>
                          </m:r>
                        </m:sub>
                      </m:sSub>
                    </m:den>
                  </m:f>
                </m:e>
              </m:d>
            </m:oMath>
            <w:r w:rsidRPr="002B690E">
              <w:rPr>
                <w:rFonts w:eastAsia="Malgun Gothic"/>
                <w:sz w:val="20"/>
                <w:szCs w:val="20"/>
                <w:lang w:eastAsia="ja-JP"/>
              </w:rPr>
              <w:t xml:space="preserve">, where unit scaling factor “1” is associated with the PDSCH-to-CSIRS EPRE offset “portion” contributed by </w:t>
            </w:r>
            <w:r w:rsidRPr="002B690E">
              <w:rPr>
                <w:rFonts w:eastAsia="Malgun Gothic"/>
                <w:iCs/>
                <w:sz w:val="20"/>
                <w:szCs w:val="20"/>
                <w:lang w:eastAsia="ja-JP"/>
              </w:rPr>
              <w:t xml:space="preserve">the </w:t>
            </w:r>
            <m:oMath>
              <m:sSup>
                <m:sSupPr>
                  <m:ctrlPr>
                    <w:rPr>
                      <w:rFonts w:ascii="Cambria Math" w:eastAsia="Malgun Gothic" w:hAnsi="Cambria Math"/>
                      <w:i/>
                      <w:iCs/>
                      <w:sz w:val="20"/>
                      <w:szCs w:val="20"/>
                      <w:lang w:eastAsia="ja-JP"/>
                    </w:rPr>
                  </m:ctrlPr>
                </m:sSupPr>
                <m:e>
                  <m:r>
                    <w:rPr>
                      <w:rFonts w:ascii="Cambria Math" w:eastAsia="Malgun Gothic" w:hAnsi="Cambria Math"/>
                      <w:sz w:val="20"/>
                      <w:szCs w:val="20"/>
                      <w:lang w:eastAsia="ja-JP"/>
                    </w:rPr>
                    <m:t>i</m:t>
                  </m:r>
                </m:e>
                <m:sup>
                  <m:r>
                    <w:rPr>
                      <w:rFonts w:ascii="Cambria Math" w:eastAsia="Malgun Gothic" w:hAnsi="Cambria Math"/>
                      <w:sz w:val="20"/>
                      <w:szCs w:val="20"/>
                      <w:lang w:eastAsia="ja-JP"/>
                    </w:rPr>
                    <m:t>th</m:t>
                  </m:r>
                </m:sup>
              </m:sSup>
            </m:oMath>
            <w:r w:rsidRPr="002B690E">
              <w:rPr>
                <w:rFonts w:eastAsia="Malgun Gothic"/>
                <w:iCs/>
                <w:sz w:val="20"/>
                <w:szCs w:val="20"/>
                <w:lang w:eastAsia="ja-JP"/>
              </w:rPr>
              <w:t xml:space="preserve"> selected SD basis vector without the 3-bit scaling factor </w:t>
            </w:r>
            <m:oMath>
              <m:sSub>
                <m:sSubPr>
                  <m:ctrlPr>
                    <w:rPr>
                      <w:rFonts w:ascii="Cambria Math" w:eastAsia="Malgun Gothic" w:hAnsi="Cambria Math"/>
                      <w:i/>
                      <w:sz w:val="20"/>
                      <w:szCs w:val="20"/>
                      <w:lang w:eastAsia="ja-JP"/>
                    </w:rPr>
                  </m:ctrlPr>
                </m:sSubPr>
                <m:e>
                  <m:r>
                    <w:rPr>
                      <w:rFonts w:ascii="Cambria Math" w:eastAsia="Malgun Gothic" w:hAnsi="Cambria Math"/>
                      <w:sz w:val="20"/>
                      <w:szCs w:val="20"/>
                      <w:lang w:eastAsia="ja-JP"/>
                    </w:rPr>
                    <m:t>s</m:t>
                  </m:r>
                </m:e>
                <m:sub>
                  <m:r>
                    <w:rPr>
                      <w:rFonts w:ascii="Cambria Math" w:eastAsia="Malgun Gothic" w:hAnsi="Cambria Math"/>
                      <w:sz w:val="20"/>
                      <w:szCs w:val="20"/>
                      <w:lang w:eastAsia="ja-JP"/>
                    </w:rPr>
                    <m:t>i</m:t>
                  </m:r>
                </m:sub>
              </m:sSub>
            </m:oMath>
            <w:r w:rsidRPr="002B690E">
              <w:rPr>
                <w:rFonts w:eastAsia="Malgun Gothic"/>
                <w:iCs/>
                <w:sz w:val="20"/>
                <w:szCs w:val="20"/>
                <w:lang w:eastAsia="ja-JP"/>
              </w:rPr>
              <w:t xml:space="preserve"> configured</w:t>
            </w:r>
            <w:r w:rsidRPr="002B690E">
              <w:rPr>
                <w:rFonts w:eastAsia="Malgun Gothic"/>
                <w:sz w:val="20"/>
                <w:szCs w:val="20"/>
                <w:lang w:eastAsia="ja-JP"/>
              </w:rPr>
              <w:t xml:space="preserve">, e.g. </w:t>
            </w:r>
            <m:oMath>
              <m:sSub>
                <m:sSubPr>
                  <m:ctrlPr>
                    <w:rPr>
                      <w:rFonts w:ascii="Cambria Math" w:eastAsia="Malgun Gothic" w:hAnsi="Cambria Math"/>
                      <w:i/>
                      <w:sz w:val="20"/>
                      <w:szCs w:val="20"/>
                      <w:lang w:eastAsia="ja-JP"/>
                    </w:rPr>
                  </m:ctrlPr>
                </m:sSubPr>
                <m:e>
                  <m:r>
                    <w:rPr>
                      <w:rFonts w:ascii="Cambria Math" w:eastAsia="Malgun Gothic" w:hAnsi="Cambria Math"/>
                      <w:sz w:val="20"/>
                      <w:szCs w:val="20"/>
                      <w:lang w:eastAsia="ja-JP"/>
                    </w:rPr>
                    <m:t>s</m:t>
                  </m:r>
                </m:e>
                <m:sub>
                  <m:r>
                    <w:rPr>
                      <w:rFonts w:ascii="Cambria Math" w:eastAsia="Malgun Gothic" w:hAnsi="Cambria Math"/>
                      <w:sz w:val="20"/>
                      <w:szCs w:val="20"/>
                      <w:lang w:eastAsia="ja-JP"/>
                    </w:rPr>
                    <m:t>i</m:t>
                  </m:r>
                </m:sub>
              </m:sSub>
              <m:r>
                <w:rPr>
                  <w:rFonts w:ascii="Cambria Math" w:eastAsia="Malgun Gothic" w:hAnsi="Cambria Math"/>
                  <w:sz w:val="20"/>
                  <w:szCs w:val="20"/>
                  <w:lang w:eastAsia="ja-JP"/>
                </w:rPr>
                <m:t>∈</m:t>
              </m:r>
              <m:d>
                <m:dPr>
                  <m:begChr m:val="{"/>
                  <m:endChr m:val="}"/>
                  <m:ctrlPr>
                    <w:rPr>
                      <w:rFonts w:ascii="Cambria Math" w:hAnsi="Cambria Math"/>
                      <w:i/>
                      <w:iCs/>
                      <w:sz w:val="20"/>
                      <w:szCs w:val="20"/>
                    </w:rPr>
                  </m:ctrlPr>
                </m:dPr>
                <m:e>
                  <m:rad>
                    <m:radPr>
                      <m:degHide m:val="1"/>
                      <m:ctrlPr>
                        <w:rPr>
                          <w:rFonts w:ascii="Cambria Math" w:hAnsi="Cambria Math"/>
                          <w:i/>
                          <w:iCs/>
                          <w:sz w:val="20"/>
                          <w:szCs w:val="20"/>
                        </w:rPr>
                      </m:ctrlPr>
                    </m:radPr>
                    <m:deg/>
                    <m:e>
                      <m:r>
                        <w:rPr>
                          <w:rFonts w:ascii="Cambria Math" w:hAnsi="Cambria Math"/>
                          <w:sz w:val="20"/>
                          <w:szCs w:val="20"/>
                        </w:rPr>
                        <m:t>1</m:t>
                      </m:r>
                    </m:e>
                  </m:rad>
                  <m:r>
                    <m:rPr>
                      <m:sty m:val="p"/>
                    </m:rPr>
                    <w:rPr>
                      <w:rFonts w:ascii="Cambria Math" w:hAnsi="Cambria Math"/>
                      <w:sz w:val="20"/>
                      <w:szCs w:val="20"/>
                    </w:rPr>
                    <m:t>, </m:t>
                  </m:r>
                  <m:rad>
                    <m:radPr>
                      <m:degHide m:val="1"/>
                      <m:ctrlPr>
                        <w:rPr>
                          <w:rFonts w:ascii="Cambria Math" w:hAnsi="Cambria Math"/>
                          <w:i/>
                          <w:iCs/>
                          <w:sz w:val="20"/>
                          <w:szCs w:val="20"/>
                        </w:rPr>
                      </m:ctrlPr>
                    </m:radPr>
                    <m:deg/>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2</m:t>
                          </m:r>
                        </m:den>
                      </m:f>
                    </m:e>
                  </m:rad>
                  <m:r>
                    <m:rPr>
                      <m:sty m:val="p"/>
                    </m:rPr>
                    <w:rPr>
                      <w:rFonts w:ascii="Cambria Math" w:hAnsi="Cambria Math"/>
                      <w:sz w:val="20"/>
                      <w:szCs w:val="20"/>
                    </w:rPr>
                    <m:t>, </m:t>
                  </m:r>
                  <m:rad>
                    <m:radPr>
                      <m:degHide m:val="1"/>
                      <m:ctrlPr>
                        <w:rPr>
                          <w:rFonts w:ascii="Cambria Math" w:hAnsi="Cambria Math"/>
                          <w:i/>
                          <w:iCs/>
                          <w:sz w:val="20"/>
                          <w:szCs w:val="20"/>
                        </w:rPr>
                      </m:ctrlPr>
                    </m:radPr>
                    <m:deg/>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3</m:t>
                          </m:r>
                        </m:den>
                      </m:f>
                    </m:e>
                  </m:rad>
                  <m:r>
                    <m:rPr>
                      <m:sty m:val="p"/>
                    </m:rPr>
                    <w:rPr>
                      <w:rFonts w:ascii="Cambria Math" w:hAnsi="Cambria Math"/>
                      <w:sz w:val="20"/>
                      <w:szCs w:val="20"/>
                    </w:rPr>
                    <m:t> ,</m:t>
                  </m:r>
                  <m:rad>
                    <m:radPr>
                      <m:degHide m:val="1"/>
                      <m:ctrlPr>
                        <w:rPr>
                          <w:rFonts w:ascii="Cambria Math" w:hAnsi="Cambria Math"/>
                          <w:i/>
                          <w:iCs/>
                          <w:sz w:val="20"/>
                          <w:szCs w:val="20"/>
                        </w:rPr>
                      </m:ctrlPr>
                    </m:radPr>
                    <m:deg/>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4</m:t>
                          </m:r>
                        </m:den>
                      </m:f>
                    </m:e>
                  </m:rad>
                  <m:r>
                    <m:rPr>
                      <m:sty m:val="p"/>
                    </m:rPr>
                    <w:rPr>
                      <w:rFonts w:ascii="Cambria Math" w:hAnsi="Cambria Math"/>
                      <w:sz w:val="20"/>
                      <w:szCs w:val="20"/>
                    </w:rPr>
                    <m:t>,</m:t>
                  </m:r>
                  <m:rad>
                    <m:radPr>
                      <m:degHide m:val="1"/>
                      <m:ctrlPr>
                        <w:rPr>
                          <w:rFonts w:ascii="Cambria Math" w:hAnsi="Cambria Math"/>
                          <w:i/>
                          <w:iCs/>
                          <w:sz w:val="20"/>
                          <w:szCs w:val="20"/>
                        </w:rPr>
                      </m:ctrlPr>
                    </m:radPr>
                    <m:deg/>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6</m:t>
                          </m:r>
                        </m:den>
                      </m:f>
                    </m:e>
                  </m:rad>
                  <m:r>
                    <m:rPr>
                      <m:sty m:val="p"/>
                    </m:rPr>
                    <w:rPr>
                      <w:rFonts w:ascii="Cambria Math" w:hAnsi="Cambria Math"/>
                      <w:sz w:val="20"/>
                      <w:szCs w:val="20"/>
                    </w:rPr>
                    <m:t>,</m:t>
                  </m:r>
                  <m:rad>
                    <m:radPr>
                      <m:degHide m:val="1"/>
                      <m:ctrlPr>
                        <w:rPr>
                          <w:rFonts w:ascii="Cambria Math" w:hAnsi="Cambria Math"/>
                          <w:i/>
                          <w:iCs/>
                          <w:sz w:val="20"/>
                          <w:szCs w:val="20"/>
                        </w:rPr>
                      </m:ctrlPr>
                    </m:radPr>
                    <m:deg/>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8</m:t>
                          </m:r>
                        </m:den>
                      </m:f>
                    </m:e>
                  </m:rad>
                  <m:r>
                    <m:rPr>
                      <m:sty m:val="p"/>
                    </m:rPr>
                    <w:rPr>
                      <w:rFonts w:ascii="Cambria Math" w:hAnsi="Cambria Math"/>
                      <w:sz w:val="20"/>
                      <w:szCs w:val="20"/>
                    </w:rPr>
                    <m:t>,</m:t>
                  </m:r>
                  <m:rad>
                    <m:radPr>
                      <m:degHide m:val="1"/>
                      <m:ctrlPr>
                        <w:rPr>
                          <w:rFonts w:ascii="Cambria Math" w:hAnsi="Cambria Math"/>
                          <w:i/>
                          <w:iCs/>
                          <w:sz w:val="20"/>
                          <w:szCs w:val="20"/>
                        </w:rPr>
                      </m:ctrlPr>
                    </m:radPr>
                    <m:deg/>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12</m:t>
                          </m:r>
                        </m:den>
                      </m:f>
                    </m:e>
                  </m:rad>
                  <m:r>
                    <m:rPr>
                      <m:sty m:val="p"/>
                    </m:rPr>
                    <w:rPr>
                      <w:rFonts w:ascii="Cambria Math" w:hAnsi="Cambria Math"/>
                      <w:sz w:val="20"/>
                      <w:szCs w:val="20"/>
                    </w:rPr>
                    <m:t>,</m:t>
                  </m:r>
                  <m:rad>
                    <m:radPr>
                      <m:degHide m:val="1"/>
                      <m:ctrlPr>
                        <w:rPr>
                          <w:rFonts w:ascii="Cambria Math" w:hAnsi="Cambria Math"/>
                          <w:i/>
                          <w:iCs/>
                          <w:sz w:val="20"/>
                          <w:szCs w:val="20"/>
                        </w:rPr>
                      </m:ctrlPr>
                    </m:radPr>
                    <m:deg/>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16</m:t>
                          </m:r>
                        </m:den>
                      </m:f>
                    </m:e>
                  </m:rad>
                </m:e>
              </m:d>
              <m:r>
                <w:rPr>
                  <w:rFonts w:ascii="Cambria Math" w:hAnsi="Cambria Math"/>
                  <w:sz w:val="20"/>
                  <w:szCs w:val="20"/>
                </w:rPr>
                <m:t xml:space="preserve"> </m:t>
              </m:r>
            </m:oMath>
            <w:r w:rsidRPr="002B690E">
              <w:rPr>
                <w:rFonts w:eastAsia="Malgun Gothic"/>
                <w:iCs/>
                <w:sz w:val="20"/>
                <w:szCs w:val="20"/>
              </w:rPr>
              <w:t xml:space="preserve"> is the scaling factor associated with the </w:t>
            </w:r>
            <m:oMath>
              <m:sSup>
                <m:sSupPr>
                  <m:ctrlPr>
                    <w:rPr>
                      <w:rFonts w:ascii="Cambria Math" w:eastAsia="Malgun Gothic" w:hAnsi="Cambria Math"/>
                      <w:i/>
                      <w:iCs/>
                      <w:sz w:val="20"/>
                      <w:szCs w:val="20"/>
                    </w:rPr>
                  </m:ctrlPr>
                </m:sSupPr>
                <m:e>
                  <m:r>
                    <w:rPr>
                      <w:rFonts w:ascii="Cambria Math" w:eastAsia="Malgun Gothic" w:hAnsi="Cambria Math"/>
                      <w:sz w:val="20"/>
                      <w:szCs w:val="20"/>
                    </w:rPr>
                    <m:t>i</m:t>
                  </m:r>
                </m:e>
                <m:sup>
                  <m:r>
                    <w:rPr>
                      <w:rFonts w:ascii="Cambria Math" w:eastAsia="Malgun Gothic" w:hAnsi="Cambria Math"/>
                      <w:sz w:val="20"/>
                      <w:szCs w:val="20"/>
                    </w:rPr>
                    <m:t>th</m:t>
                  </m:r>
                </m:sup>
              </m:sSup>
            </m:oMath>
            <w:r w:rsidRPr="002B690E">
              <w:rPr>
                <w:rFonts w:eastAsia="Malgun Gothic"/>
                <w:iCs/>
                <w:sz w:val="20"/>
                <w:szCs w:val="20"/>
              </w:rPr>
              <w:t xml:space="preserve"> SD basis vector, and </w:t>
            </w:r>
            <m:oMath>
              <m:sSub>
                <m:sSubPr>
                  <m:ctrlPr>
                    <w:rPr>
                      <w:rFonts w:ascii="Cambria Math" w:eastAsia="Malgun Gothic" w:hAnsi="Cambria Math"/>
                      <w:i/>
                      <w:sz w:val="20"/>
                      <w:szCs w:val="20"/>
                      <w:lang w:eastAsia="ja-JP"/>
                    </w:rPr>
                  </m:ctrlPr>
                </m:sSubPr>
                <m:e>
                  <m:r>
                    <w:rPr>
                      <w:rFonts w:ascii="Cambria Math" w:eastAsia="Malgun Gothic" w:hAnsi="Cambria Math"/>
                      <w:sz w:val="20"/>
                      <w:szCs w:val="20"/>
                      <w:lang w:eastAsia="ja-JP"/>
                    </w:rPr>
                    <m:t>r</m:t>
                  </m:r>
                </m:e>
                <m:sub>
                  <m:r>
                    <w:rPr>
                      <w:rFonts w:ascii="Cambria Math" w:eastAsia="Malgun Gothic" w:hAnsi="Cambria Math"/>
                      <w:sz w:val="20"/>
                      <w:szCs w:val="20"/>
                      <w:lang w:eastAsia="ja-JP"/>
                    </w:rPr>
                    <m:t>i</m:t>
                  </m:r>
                </m:sub>
              </m:sSub>
              <m:r>
                <w:rPr>
                  <w:rFonts w:ascii="Cambria Math" w:eastAsia="Malgun Gothic" w:hAnsi="Cambria Math"/>
                  <w:sz w:val="20"/>
                  <w:szCs w:val="20"/>
                  <w:lang w:eastAsia="ja-JP"/>
                </w:rPr>
                <m:t>∈</m:t>
              </m:r>
              <m:d>
                <m:dPr>
                  <m:begChr m:val="{"/>
                  <m:endChr m:val="}"/>
                  <m:ctrlPr>
                    <w:rPr>
                      <w:rFonts w:ascii="Cambria Math" w:eastAsia="Malgun Gothic" w:hAnsi="Cambria Math"/>
                      <w:i/>
                      <w:sz w:val="20"/>
                      <w:szCs w:val="20"/>
                    </w:rPr>
                  </m:ctrlPr>
                </m:dPr>
                <m:e>
                  <m:r>
                    <w:rPr>
                      <w:rFonts w:ascii="Cambria Math" w:eastAsia="Malgun Gothic" w:hAnsi="Cambria Math"/>
                      <w:sz w:val="20"/>
                      <w:szCs w:val="20"/>
                    </w:rPr>
                    <m:t>1,2</m:t>
                  </m:r>
                </m:e>
              </m:d>
            </m:oMath>
            <w:r w:rsidRPr="002B690E">
              <w:rPr>
                <w:rFonts w:eastAsia="Malgun Gothic"/>
                <w:sz w:val="20"/>
                <w:szCs w:val="20"/>
                <w:lang w:eastAsia="ja-JP"/>
              </w:rPr>
              <w:t xml:space="preserve"> is the number of layers transmitted using the </w:t>
            </w:r>
            <m:oMath>
              <m:sSup>
                <m:sSupPr>
                  <m:ctrlPr>
                    <w:rPr>
                      <w:rFonts w:ascii="Cambria Math" w:eastAsia="Malgun Gothic" w:hAnsi="Cambria Math"/>
                      <w:i/>
                      <w:sz w:val="20"/>
                      <w:szCs w:val="20"/>
                      <w:lang w:eastAsia="ja-JP"/>
                    </w:rPr>
                  </m:ctrlPr>
                </m:sSupPr>
                <m:e>
                  <m:r>
                    <w:rPr>
                      <w:rFonts w:ascii="Cambria Math" w:eastAsia="Malgun Gothic" w:hAnsi="Cambria Math"/>
                      <w:sz w:val="20"/>
                      <w:szCs w:val="20"/>
                      <w:lang w:eastAsia="ja-JP"/>
                    </w:rPr>
                    <m:t>i</m:t>
                  </m:r>
                </m:e>
                <m:sup>
                  <m:r>
                    <w:rPr>
                      <w:rFonts w:ascii="Cambria Math" w:eastAsia="Malgun Gothic" w:hAnsi="Cambria Math"/>
                      <w:sz w:val="20"/>
                      <w:szCs w:val="20"/>
                      <w:lang w:eastAsia="ja-JP"/>
                    </w:rPr>
                    <m:t>th</m:t>
                  </m:r>
                </m:sup>
              </m:sSup>
            </m:oMath>
            <w:r w:rsidRPr="002B690E">
              <w:rPr>
                <w:rFonts w:eastAsia="Malgun Gothic"/>
                <w:sz w:val="20"/>
                <w:szCs w:val="20"/>
                <w:lang w:eastAsia="ja-JP"/>
              </w:rPr>
              <w:t xml:space="preserve"> SD basis vector.</w:t>
            </w:r>
          </w:p>
          <w:p w:rsidR="00352FF1" w:rsidRPr="002B690E" w:rsidRDefault="00352FF1" w:rsidP="00352FF1">
            <w:pPr>
              <w:widowControl w:val="0"/>
              <w:numPr>
                <w:ilvl w:val="0"/>
                <w:numId w:val="835"/>
              </w:numPr>
              <w:snapToGrid w:val="0"/>
              <w:rPr>
                <w:iCs/>
                <w:sz w:val="20"/>
                <w:szCs w:val="20"/>
              </w:rPr>
            </w:pPr>
            <w:r w:rsidRPr="002B690E">
              <w:rPr>
                <w:iCs/>
                <w:sz w:val="20"/>
                <w:szCs w:val="20"/>
              </w:rPr>
              <w:t>Note: This feature is a separate UE capability</w:t>
            </w:r>
          </w:p>
          <w:p w:rsidR="00352FF1" w:rsidRPr="002B690E" w:rsidRDefault="00352FF1" w:rsidP="00352FF1">
            <w:pPr>
              <w:widowControl w:val="0"/>
              <w:numPr>
                <w:ilvl w:val="0"/>
                <w:numId w:val="835"/>
              </w:numPr>
              <w:snapToGrid w:val="0"/>
              <w:rPr>
                <w:iCs/>
                <w:sz w:val="20"/>
                <w:szCs w:val="20"/>
              </w:rPr>
            </w:pPr>
            <w:r w:rsidRPr="002B690E">
              <w:rPr>
                <w:iCs/>
                <w:sz w:val="20"/>
                <w:szCs w:val="20"/>
              </w:rPr>
              <w:t>Study whether per-SD-basis-vector/layer power adjustment (including boosting) needs to be supported in addition</w:t>
            </w:r>
          </w:p>
          <w:p w:rsidR="00352FF1" w:rsidRPr="002B690E" w:rsidRDefault="00352FF1" w:rsidP="00352FF1">
            <w:pPr>
              <w:rPr>
                <w:iCs/>
                <w:sz w:val="20"/>
                <w:szCs w:val="20"/>
                <w:lang w:eastAsia="x-none"/>
              </w:rPr>
            </w:pPr>
          </w:p>
          <w:p w:rsidR="00352FF1" w:rsidRPr="002B690E" w:rsidRDefault="00352FF1" w:rsidP="00352FF1">
            <w:pPr>
              <w:rPr>
                <w:b/>
                <w:bCs/>
                <w:sz w:val="20"/>
                <w:szCs w:val="20"/>
                <w:highlight w:val="green"/>
                <w:lang w:eastAsia="x-none"/>
              </w:rPr>
            </w:pPr>
            <w:r w:rsidRPr="002B690E">
              <w:rPr>
                <w:b/>
                <w:bCs/>
                <w:sz w:val="20"/>
                <w:szCs w:val="20"/>
                <w:highlight w:val="green"/>
                <w:lang w:eastAsia="x-none"/>
              </w:rPr>
              <w:t>Agreement</w:t>
            </w:r>
          </w:p>
          <w:p w:rsidR="00352FF1" w:rsidRPr="002B690E" w:rsidRDefault="00352FF1" w:rsidP="00352FF1">
            <w:pPr>
              <w:snapToGrid w:val="0"/>
              <w:rPr>
                <w:iCs/>
                <w:sz w:val="20"/>
                <w:szCs w:val="20"/>
              </w:rPr>
            </w:pPr>
            <w:r w:rsidRPr="002B690E">
              <w:rPr>
                <w:iCs/>
                <w:sz w:val="20"/>
                <w:szCs w:val="20"/>
              </w:rPr>
              <w:t xml:space="preserve">For the Rel-19 CRI-based CSI refinement for up to 128 CSI-RS ports, regarding resource-specific CBSR, </w:t>
            </w:r>
          </w:p>
          <w:p w:rsidR="00352FF1" w:rsidRPr="002B690E" w:rsidRDefault="00352FF1" w:rsidP="00352FF1">
            <w:pPr>
              <w:pStyle w:val="ListParagraph"/>
              <w:numPr>
                <w:ilvl w:val="0"/>
                <w:numId w:val="1043"/>
              </w:numPr>
              <w:snapToGrid w:val="0"/>
              <w:ind w:leftChars="0"/>
              <w:rPr>
                <w:rFonts w:ascii="Times New Roman" w:hAnsi="Times New Roman"/>
                <w:bCs/>
                <w:iCs/>
                <w:szCs w:val="20"/>
              </w:rPr>
            </w:pPr>
            <w:r w:rsidRPr="002B690E">
              <w:rPr>
                <w:rFonts w:ascii="Times New Roman" w:hAnsi="Times New Roman"/>
                <w:bCs/>
                <w:iCs/>
                <w:szCs w:val="20"/>
              </w:rPr>
              <w:t xml:space="preserve">For Rel-16 eType-II-based: reuse </w:t>
            </w:r>
            <w:r w:rsidRPr="002B690E">
              <w:rPr>
                <w:rFonts w:ascii="Times New Roman" w:hAnsi="Times New Roman"/>
                <w:szCs w:val="20"/>
              </w:rPr>
              <w:t>Rel-16 eType-II CBSR design for each of the K</w:t>
            </w:r>
            <w:r w:rsidRPr="002B690E">
              <w:rPr>
                <w:rFonts w:ascii="Times New Roman" w:hAnsi="Times New Roman"/>
                <w:szCs w:val="20"/>
                <w:vertAlign w:val="subscript"/>
              </w:rPr>
              <w:t>S</w:t>
            </w:r>
            <w:r w:rsidRPr="002B690E">
              <w:rPr>
                <w:rFonts w:ascii="Times New Roman" w:hAnsi="Times New Roman"/>
                <w:szCs w:val="20"/>
              </w:rPr>
              <w:t xml:space="preserve"> resources:</w:t>
            </w:r>
          </w:p>
          <w:p w:rsidR="00352FF1" w:rsidRPr="002B690E" w:rsidRDefault="00352FF1" w:rsidP="00352FF1">
            <w:pPr>
              <w:pStyle w:val="ListParagraph"/>
              <w:numPr>
                <w:ilvl w:val="1"/>
                <w:numId w:val="1043"/>
              </w:numPr>
              <w:snapToGrid w:val="0"/>
              <w:ind w:leftChars="0"/>
              <w:rPr>
                <w:rFonts w:ascii="Times New Roman" w:hAnsi="Times New Roman"/>
                <w:bCs/>
                <w:iCs/>
                <w:szCs w:val="20"/>
              </w:rPr>
            </w:pPr>
            <w:r w:rsidRPr="002B690E">
              <w:rPr>
                <w:rFonts w:ascii="Times New Roman" w:hAnsi="Times New Roman"/>
                <w:iCs/>
                <w:szCs w:val="20"/>
              </w:rPr>
              <w:t>Just as Rel-18 Type-II CJT CBSR, decouple (N1,N2) from each of the K</w:t>
            </w:r>
            <w:r w:rsidRPr="002B690E">
              <w:rPr>
                <w:rFonts w:ascii="Times New Roman" w:hAnsi="Times New Roman"/>
                <w:szCs w:val="20"/>
                <w:vertAlign w:val="subscript"/>
              </w:rPr>
              <w:t>S</w:t>
            </w:r>
            <w:r w:rsidRPr="002B690E">
              <w:rPr>
                <w:rFonts w:ascii="Times New Roman" w:hAnsi="Times New Roman"/>
                <w:iCs/>
                <w:szCs w:val="20"/>
              </w:rPr>
              <w:t xml:space="preserve"> CBSR IEs</w:t>
            </w:r>
          </w:p>
          <w:p w:rsidR="00352FF1" w:rsidRPr="002B690E" w:rsidRDefault="00352FF1" w:rsidP="00352FF1">
            <w:pPr>
              <w:pStyle w:val="ListParagraph"/>
              <w:numPr>
                <w:ilvl w:val="1"/>
                <w:numId w:val="1043"/>
              </w:numPr>
              <w:snapToGrid w:val="0"/>
              <w:ind w:leftChars="0"/>
              <w:rPr>
                <w:rFonts w:ascii="Times New Roman" w:hAnsi="Times New Roman"/>
                <w:bCs/>
                <w:iCs/>
                <w:szCs w:val="20"/>
              </w:rPr>
            </w:pPr>
            <w:r w:rsidRPr="002B690E">
              <w:rPr>
                <w:rFonts w:ascii="Times New Roman" w:hAnsi="Times New Roman"/>
                <w:iCs/>
                <w:szCs w:val="20"/>
              </w:rPr>
              <w:t xml:space="preserve">This implies that it is possible not to configure CBSR for any of the KS resources </w:t>
            </w:r>
          </w:p>
          <w:p w:rsidR="00352FF1" w:rsidRPr="002B690E" w:rsidRDefault="00352FF1" w:rsidP="00352FF1">
            <w:pPr>
              <w:pStyle w:val="ListParagraph"/>
              <w:numPr>
                <w:ilvl w:val="1"/>
                <w:numId w:val="1043"/>
              </w:numPr>
              <w:snapToGrid w:val="0"/>
              <w:ind w:leftChars="0"/>
              <w:rPr>
                <w:rFonts w:ascii="Times New Roman" w:hAnsi="Times New Roman"/>
                <w:bCs/>
                <w:iCs/>
                <w:szCs w:val="20"/>
              </w:rPr>
            </w:pPr>
            <w:r w:rsidRPr="002B690E">
              <w:rPr>
                <w:rFonts w:ascii="Times New Roman" w:hAnsi="Times New Roman"/>
                <w:iCs/>
                <w:szCs w:val="20"/>
              </w:rPr>
              <w:t xml:space="preserve">Only 1-bit hard CBSR is supported </w:t>
            </w:r>
          </w:p>
          <w:p w:rsidR="00352FF1" w:rsidRPr="002B690E" w:rsidRDefault="00352FF1" w:rsidP="00352FF1">
            <w:pPr>
              <w:snapToGrid w:val="0"/>
              <w:rPr>
                <w:iCs/>
                <w:sz w:val="20"/>
                <w:szCs w:val="20"/>
              </w:rPr>
            </w:pPr>
          </w:p>
          <w:p w:rsidR="00352FF1" w:rsidRPr="002B690E" w:rsidRDefault="00352FF1" w:rsidP="00352FF1">
            <w:pPr>
              <w:pStyle w:val="ListParagraph"/>
              <w:numPr>
                <w:ilvl w:val="0"/>
                <w:numId w:val="1043"/>
              </w:numPr>
              <w:snapToGrid w:val="0"/>
              <w:ind w:leftChars="0"/>
              <w:rPr>
                <w:rFonts w:ascii="Times New Roman" w:hAnsi="Times New Roman"/>
                <w:bCs/>
                <w:iCs/>
                <w:szCs w:val="20"/>
              </w:rPr>
            </w:pPr>
            <w:r w:rsidRPr="002B690E">
              <w:rPr>
                <w:rFonts w:ascii="Times New Roman" w:hAnsi="Times New Roman"/>
                <w:bCs/>
                <w:iCs/>
                <w:szCs w:val="20"/>
              </w:rPr>
              <w:t xml:space="preserve">For Rel-15 Type-I-SP-based: reuse </w:t>
            </w:r>
            <w:r w:rsidRPr="002B690E">
              <w:rPr>
                <w:rFonts w:ascii="Times New Roman" w:hAnsi="Times New Roman"/>
                <w:szCs w:val="20"/>
              </w:rPr>
              <w:t>Rel-15 Type-I SP CBSR design for each of the K</w:t>
            </w:r>
            <w:r w:rsidRPr="002B690E">
              <w:rPr>
                <w:rFonts w:ascii="Times New Roman" w:hAnsi="Times New Roman"/>
                <w:szCs w:val="20"/>
                <w:vertAlign w:val="subscript"/>
              </w:rPr>
              <w:t>S</w:t>
            </w:r>
            <w:r w:rsidRPr="002B690E">
              <w:rPr>
                <w:rFonts w:ascii="Times New Roman" w:hAnsi="Times New Roman"/>
                <w:szCs w:val="20"/>
              </w:rPr>
              <w:t xml:space="preserve"> resources:</w:t>
            </w:r>
          </w:p>
          <w:p w:rsidR="00352FF1" w:rsidRPr="002B690E" w:rsidRDefault="00352FF1" w:rsidP="00352FF1">
            <w:pPr>
              <w:pStyle w:val="ListParagraph"/>
              <w:numPr>
                <w:ilvl w:val="1"/>
                <w:numId w:val="1043"/>
              </w:numPr>
              <w:snapToGrid w:val="0"/>
              <w:ind w:leftChars="0"/>
              <w:rPr>
                <w:rFonts w:ascii="Times New Roman" w:hAnsi="Times New Roman"/>
                <w:bCs/>
                <w:iCs/>
                <w:szCs w:val="20"/>
              </w:rPr>
            </w:pPr>
            <w:r w:rsidRPr="002B690E">
              <w:rPr>
                <w:rFonts w:ascii="Times New Roman" w:hAnsi="Times New Roman"/>
                <w:iCs/>
                <w:szCs w:val="20"/>
              </w:rPr>
              <w:t>Just as Rel-18 Type-II CJT CBSR, decouple (N1,N2) from each of the Ks CBSR IEs</w:t>
            </w:r>
          </w:p>
          <w:p w:rsidR="00352FF1" w:rsidRPr="002B690E" w:rsidRDefault="00352FF1" w:rsidP="00352FF1">
            <w:pPr>
              <w:pStyle w:val="ListParagraph"/>
              <w:numPr>
                <w:ilvl w:val="1"/>
                <w:numId w:val="1043"/>
              </w:numPr>
              <w:snapToGrid w:val="0"/>
              <w:ind w:leftChars="0"/>
              <w:rPr>
                <w:rFonts w:ascii="Times New Roman" w:hAnsi="Times New Roman"/>
                <w:bCs/>
                <w:iCs/>
                <w:szCs w:val="20"/>
              </w:rPr>
            </w:pPr>
            <w:r w:rsidRPr="002B690E">
              <w:rPr>
                <w:rFonts w:ascii="Times New Roman" w:hAnsi="Times New Roman"/>
                <w:iCs/>
                <w:szCs w:val="20"/>
              </w:rPr>
              <w:t xml:space="preserve">This implies that it is possible not to configure CBSR for any of the KS resources </w:t>
            </w:r>
          </w:p>
          <w:p w:rsidR="00352FF1" w:rsidRDefault="00352FF1" w:rsidP="00352FF1"/>
          <w:p w:rsidR="006858FA" w:rsidRPr="0045555A" w:rsidRDefault="006858FA" w:rsidP="00352FF1">
            <w:pPr>
              <w:rPr>
                <w:rFonts w:eastAsia="SimSun"/>
                <w:b/>
                <w:bCs/>
                <w:sz w:val="20"/>
                <w:szCs w:val="20"/>
              </w:rPr>
            </w:pPr>
          </w:p>
        </w:tc>
      </w:tr>
    </w:tbl>
    <w:p w:rsidR="00330A5A" w:rsidRDefault="00330A5A" w:rsidP="00557396">
      <w:pPr>
        <w:pStyle w:val="0Maintext"/>
        <w:spacing w:after="120" w:afterAutospacing="0" w:line="240" w:lineRule="auto"/>
        <w:ind w:firstLine="0"/>
        <w:rPr>
          <w:lang w:val="en-US"/>
        </w:rPr>
      </w:pP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987AEE">
        <w:rPr>
          <w:lang w:val="en-US" w:eastAsia="zh-CN"/>
        </w:rPr>
        <w:t xml:space="preserve">the </w:t>
      </w:r>
      <w:r w:rsidR="0045555A">
        <w:rPr>
          <w:lang w:val="en-US" w:eastAsia="zh-CN"/>
        </w:rPr>
        <w:t>CSI</w:t>
      </w:r>
      <w:r w:rsidR="00EA7968">
        <w:rPr>
          <w:lang w:val="en-US" w:eastAsia="zh-CN"/>
        </w:rPr>
        <w:t xml:space="preserve"> enhancement</w:t>
      </w:r>
      <w:r w:rsidR="0045555A">
        <w:rPr>
          <w:lang w:val="en-US" w:eastAsia="zh-CN"/>
        </w:rPr>
        <w:t xml:space="preserve"> for NR MIMO</w:t>
      </w:r>
      <w:r w:rsidR="00EA7968">
        <w:rPr>
          <w:lang w:val="en-US" w:eastAsia="zh-CN"/>
        </w:rPr>
        <w:t>.</w:t>
      </w:r>
    </w:p>
    <w:p w:rsidR="00557396" w:rsidRDefault="0045555A" w:rsidP="00557396">
      <w:pPr>
        <w:pStyle w:val="Heading1"/>
      </w:pPr>
      <w:r>
        <w:t>Type1 codebook for 128 ports</w:t>
      </w:r>
    </w:p>
    <w:p w:rsidR="0045555A" w:rsidRDefault="0045555A" w:rsidP="0045555A">
      <w:pPr>
        <w:pStyle w:val="Heading2"/>
      </w:pPr>
      <w:r>
        <w:t>Report quantity</w:t>
      </w:r>
      <w:r w:rsidR="009127D2">
        <w:t xml:space="preserve"> configuration</w:t>
      </w:r>
      <w:r w:rsidR="006104C7">
        <w:t xml:space="preserve"> </w:t>
      </w:r>
    </w:p>
    <w:p w:rsidR="006104C7" w:rsidRDefault="0045555A" w:rsidP="0045555A">
      <w:pPr>
        <w:pStyle w:val="0Maintext"/>
        <w:spacing w:after="120" w:afterAutospacing="0" w:line="240" w:lineRule="auto"/>
        <w:ind w:firstLine="0"/>
        <w:rPr>
          <w:lang w:val="en-US" w:eastAsia="zh-CN"/>
        </w:rPr>
      </w:pPr>
      <w:r>
        <w:rPr>
          <w:lang w:val="en-US" w:eastAsia="zh-CN"/>
        </w:rPr>
        <w:t xml:space="preserve">Since all the CSI-RS resources in the CSI-RS resource set for channel measurement are used for one CSI measurement, </w:t>
      </w:r>
      <w:r w:rsidR="006104C7">
        <w:rPr>
          <w:lang w:val="en-US" w:eastAsia="zh-CN"/>
        </w:rPr>
        <w:t xml:space="preserve">it is unnecessary for the UE to report the CRI. Thus, </w:t>
      </w:r>
      <w:r w:rsidR="009127D2">
        <w:rPr>
          <w:lang w:val="en-US" w:eastAsia="zh-CN"/>
        </w:rPr>
        <w:t xml:space="preserve">to distinguish from the legacy Type1 codebook based CSI report based on multiple CSI-RS resources with CRI reported, </w:t>
      </w:r>
      <w:r w:rsidR="006104C7">
        <w:rPr>
          <w:lang w:val="en-US" w:eastAsia="zh-CN"/>
        </w:rPr>
        <w:t xml:space="preserve">the report quantity for </w:t>
      </w:r>
      <w:r w:rsidR="009127D2">
        <w:rPr>
          <w:lang w:val="en-US" w:eastAsia="zh-CN"/>
        </w:rPr>
        <w:t>the CSI feedback for up to 128 ports</w:t>
      </w:r>
      <w:r w:rsidR="006104C7">
        <w:rPr>
          <w:lang w:val="en-US" w:eastAsia="zh-CN"/>
        </w:rPr>
        <w:t xml:space="preserve"> should be based on “RI-PMI-CQI” or “RI-PMI-CQI-LI”.</w:t>
      </w:r>
    </w:p>
    <w:p w:rsidR="0045555A" w:rsidRDefault="006104C7" w:rsidP="0045555A">
      <w:pPr>
        <w:pStyle w:val="0Maintext"/>
        <w:spacing w:after="120" w:afterAutospacing="0" w:line="240" w:lineRule="auto"/>
        <w:ind w:firstLine="0"/>
        <w:rPr>
          <w:lang w:val="en-US" w:eastAsia="zh-CN"/>
        </w:rPr>
      </w:pPr>
      <w:r w:rsidRPr="00157942">
        <w:rPr>
          <w:b/>
          <w:bCs/>
          <w:i/>
          <w:iCs/>
          <w:lang w:val="en-US" w:eastAsia="zh-CN"/>
        </w:rPr>
        <w:t xml:space="preserve">Proposal </w:t>
      </w:r>
      <w:r w:rsidR="009127D2">
        <w:rPr>
          <w:b/>
          <w:bCs/>
          <w:i/>
          <w:iCs/>
          <w:lang w:val="en-US" w:eastAsia="zh-CN"/>
        </w:rPr>
        <w:t>1</w:t>
      </w:r>
      <w:r w:rsidRPr="00157942">
        <w:rPr>
          <w:b/>
          <w:bCs/>
          <w:i/>
          <w:iCs/>
          <w:lang w:val="en-US" w:eastAsia="zh-CN"/>
        </w:rPr>
        <w:t xml:space="preserve">: </w:t>
      </w:r>
      <w:r>
        <w:rPr>
          <w:b/>
          <w:bCs/>
          <w:i/>
          <w:iCs/>
          <w:lang w:val="en-US" w:eastAsia="zh-CN"/>
        </w:rPr>
        <w:t xml:space="preserve">When the NW configures a Type1 codebook with more than 32 ports, support the NW configures the reportQuantity based on </w:t>
      </w:r>
      <w:r w:rsidRPr="006104C7">
        <w:rPr>
          <w:b/>
          <w:bCs/>
          <w:i/>
          <w:iCs/>
          <w:lang w:val="en-US" w:eastAsia="zh-CN"/>
        </w:rPr>
        <w:t xml:space="preserve">“RI-PMI-CQI” </w:t>
      </w:r>
      <w:r>
        <w:rPr>
          <w:b/>
          <w:bCs/>
          <w:i/>
          <w:iCs/>
          <w:lang w:val="en-US" w:eastAsia="zh-CN"/>
        </w:rPr>
        <w:t>and</w:t>
      </w:r>
      <w:r w:rsidRPr="006104C7">
        <w:rPr>
          <w:b/>
          <w:bCs/>
          <w:i/>
          <w:iCs/>
          <w:lang w:val="en-US" w:eastAsia="zh-CN"/>
        </w:rPr>
        <w:t xml:space="preserve"> “RI-PMI-CQI-LI”</w:t>
      </w:r>
      <w:r w:rsidR="009127D2">
        <w:rPr>
          <w:b/>
          <w:bCs/>
          <w:i/>
          <w:iCs/>
          <w:lang w:val="en-US" w:eastAsia="zh-CN"/>
        </w:rPr>
        <w:t xml:space="preserve"> </w:t>
      </w:r>
      <w:r w:rsidR="009127D2" w:rsidRPr="009127D2">
        <w:rPr>
          <w:b/>
          <w:bCs/>
          <w:i/>
          <w:iCs/>
          <w:lang w:val="en-US" w:eastAsia="zh-CN"/>
        </w:rPr>
        <w:t>to distinguish from the legacy Type1 codebook based CSI report based on multiple CSI-RS resources with CRI reported</w:t>
      </w:r>
      <w:r>
        <w:rPr>
          <w:b/>
          <w:bCs/>
          <w:i/>
          <w:iCs/>
          <w:lang w:val="en-US" w:eastAsia="zh-CN"/>
        </w:rPr>
        <w:t>.</w:t>
      </w:r>
    </w:p>
    <w:p w:rsidR="009127D2" w:rsidRDefault="009127D2" w:rsidP="00557396">
      <w:pPr>
        <w:pStyle w:val="0Maintext"/>
        <w:spacing w:after="120" w:afterAutospacing="0" w:line="240" w:lineRule="auto"/>
        <w:ind w:firstLine="0"/>
        <w:rPr>
          <w:lang w:val="en-US" w:eastAsia="zh-CN"/>
        </w:rPr>
      </w:pPr>
    </w:p>
    <w:p w:rsidR="007B78A6" w:rsidRDefault="00352FF1" w:rsidP="007B78A6">
      <w:pPr>
        <w:pStyle w:val="Heading2"/>
      </w:pPr>
      <w:r>
        <w:t>Power scaling for rank&gt;1</w:t>
      </w:r>
    </w:p>
    <w:p w:rsidR="00352FF1" w:rsidRDefault="00352FF1" w:rsidP="007B78A6">
      <w:pPr>
        <w:pStyle w:val="0Maintext"/>
        <w:spacing w:after="120" w:afterAutospacing="0" w:line="240" w:lineRule="auto"/>
        <w:ind w:firstLine="0"/>
        <w:rPr>
          <w:lang w:val="en-US" w:eastAsia="zh-CN"/>
        </w:rPr>
      </w:pPr>
      <w:r>
        <w:rPr>
          <w:lang w:val="en-US" w:eastAsia="zh-CN"/>
        </w:rPr>
        <w:t>In RAN1 #118 meeting, the following on power scaling for rank&gt;1 has been agreed.</w:t>
      </w:r>
    </w:p>
    <w:tbl>
      <w:tblPr>
        <w:tblStyle w:val="TableGrid"/>
        <w:tblW w:w="0" w:type="auto"/>
        <w:tblLook w:val="04A0" w:firstRow="1" w:lastRow="0" w:firstColumn="1" w:lastColumn="0" w:noHBand="0" w:noVBand="1"/>
      </w:tblPr>
      <w:tblGrid>
        <w:gridCol w:w="9010"/>
      </w:tblGrid>
      <w:tr w:rsidR="00352FF1" w:rsidTr="00352FF1">
        <w:tc>
          <w:tcPr>
            <w:tcW w:w="9010" w:type="dxa"/>
          </w:tcPr>
          <w:p w:rsidR="00352FF1" w:rsidRPr="002B690E" w:rsidRDefault="00352FF1" w:rsidP="00352FF1">
            <w:pPr>
              <w:rPr>
                <w:b/>
                <w:bCs/>
                <w:sz w:val="20"/>
                <w:szCs w:val="20"/>
                <w:highlight w:val="green"/>
                <w:lang w:eastAsia="x-none"/>
              </w:rPr>
            </w:pPr>
            <w:r w:rsidRPr="002B690E">
              <w:rPr>
                <w:b/>
                <w:bCs/>
                <w:sz w:val="20"/>
                <w:szCs w:val="20"/>
                <w:highlight w:val="green"/>
                <w:lang w:eastAsia="x-none"/>
              </w:rPr>
              <w:t>Agreement</w:t>
            </w:r>
          </w:p>
          <w:p w:rsidR="00352FF1" w:rsidRPr="002B690E" w:rsidRDefault="00352FF1" w:rsidP="00352FF1">
            <w:pPr>
              <w:widowControl w:val="0"/>
              <w:snapToGrid w:val="0"/>
              <w:jc w:val="both"/>
              <w:rPr>
                <w:rFonts w:eastAsia="Malgun Gothic"/>
                <w:sz w:val="20"/>
                <w:szCs w:val="20"/>
                <w:lang w:eastAsia="ja-JP"/>
              </w:rPr>
            </w:pPr>
            <w:r w:rsidRPr="002B690E">
              <w:rPr>
                <w:iCs/>
                <w:sz w:val="20"/>
                <w:szCs w:val="20"/>
              </w:rPr>
              <w:t xml:space="preserve">For the Rel-19 Type-I codebook refinement for 48, 64, and 128 CSI-RS ports, </w:t>
            </w:r>
            <w:r w:rsidRPr="002B690E">
              <w:rPr>
                <w:iCs/>
                <w:sz w:val="20"/>
                <w:szCs w:val="20"/>
                <w:u w:val="single"/>
              </w:rPr>
              <w:t>study</w:t>
            </w:r>
            <w:r w:rsidRPr="002B690E">
              <w:rPr>
                <w:iCs/>
                <w:sz w:val="20"/>
                <w:szCs w:val="20"/>
              </w:rPr>
              <w:t>, for RI=</w:t>
            </w:r>
            <w:r w:rsidRPr="002B690E">
              <w:rPr>
                <w:rFonts w:eastAsia="Malgun Gothic"/>
                <w:i/>
                <w:sz w:val="20"/>
                <w:szCs w:val="20"/>
                <w:lang w:eastAsia="ja-JP"/>
              </w:rPr>
              <w:t xml:space="preserve"> </w:t>
            </w:r>
            <m:oMath>
              <m:r>
                <w:rPr>
                  <w:rFonts w:ascii="Cambria Math" w:eastAsia="Malgun Gothic" w:hAnsi="Cambria Math"/>
                  <w:sz w:val="20"/>
                  <w:szCs w:val="20"/>
                  <w:lang w:eastAsia="ja-JP"/>
                </w:rPr>
                <m:t>ϑ</m:t>
              </m:r>
            </m:oMath>
            <w:r w:rsidRPr="002B690E">
              <w:rPr>
                <w:iCs/>
                <w:sz w:val="20"/>
                <w:szCs w:val="20"/>
              </w:rPr>
              <w:t xml:space="preserve"> &gt;1, applying the 3-bit scaling factor(s) as agreed in RAN1#117, where a per-layer scaling factor applied to the </w:t>
            </w:r>
            <m:oMath>
              <m:sSup>
                <m:sSupPr>
                  <m:ctrlPr>
                    <w:rPr>
                      <w:rFonts w:ascii="Cambria Math" w:hAnsi="Cambria Math"/>
                      <w:i/>
                      <w:iCs/>
                      <w:sz w:val="20"/>
                      <w:szCs w:val="20"/>
                    </w:rPr>
                  </m:ctrlPr>
                </m:sSupPr>
                <m:e>
                  <m:r>
                    <w:rPr>
                      <w:rFonts w:ascii="Cambria Math" w:hAnsi="Cambria Math"/>
                      <w:sz w:val="20"/>
                      <w:szCs w:val="20"/>
                    </w:rPr>
                    <m:t>i</m:t>
                  </m:r>
                </m:e>
                <m:sup>
                  <m:r>
                    <w:rPr>
                      <w:rFonts w:ascii="Cambria Math" w:hAnsi="Cambria Math"/>
                      <w:sz w:val="20"/>
                      <w:szCs w:val="20"/>
                    </w:rPr>
                    <m:t>th</m:t>
                  </m:r>
                </m:sup>
              </m:sSup>
            </m:oMath>
            <w:r w:rsidRPr="002B690E">
              <w:rPr>
                <w:rFonts w:eastAsia="Malgun Gothic"/>
                <w:iCs/>
                <w:sz w:val="20"/>
                <w:szCs w:val="20"/>
              </w:rPr>
              <w:t xml:space="preserve"> selected SD basis vector is given by e.g. </w:t>
            </w:r>
            <m:oMath>
              <m:r>
                <w:rPr>
                  <w:rFonts w:ascii="Cambria Math" w:eastAsia="Malgun Gothic" w:hAnsi="Cambria Math"/>
                  <w:sz w:val="20"/>
                  <w:szCs w:val="20"/>
                  <w:lang w:eastAsia="ja-JP"/>
                </w:rPr>
                <m:t>min</m:t>
              </m:r>
              <m:d>
                <m:dPr>
                  <m:begChr m:val="{"/>
                  <m:endChr m:val="}"/>
                  <m:ctrlPr>
                    <w:rPr>
                      <w:rFonts w:ascii="Cambria Math" w:eastAsia="Malgun Gothic" w:hAnsi="Cambria Math"/>
                      <w:i/>
                      <w:sz w:val="20"/>
                      <w:szCs w:val="20"/>
                      <w:lang w:eastAsia="ja-JP"/>
                    </w:rPr>
                  </m:ctrlPr>
                </m:dPr>
                <m:e>
                  <m:r>
                    <w:rPr>
                      <w:rFonts w:ascii="Cambria Math" w:eastAsia="Malgun Gothic" w:hAnsi="Cambria Math"/>
                      <w:sz w:val="20"/>
                      <w:szCs w:val="20"/>
                      <w:lang w:eastAsia="ja-JP"/>
                    </w:rPr>
                    <m:t>1,</m:t>
                  </m:r>
                  <m:f>
                    <m:fPr>
                      <m:ctrlPr>
                        <w:rPr>
                          <w:rFonts w:ascii="Cambria Math" w:eastAsia="Malgun Gothic" w:hAnsi="Cambria Math"/>
                          <w:i/>
                          <w:sz w:val="20"/>
                          <w:szCs w:val="20"/>
                          <w:lang w:eastAsia="ja-JP"/>
                        </w:rPr>
                      </m:ctrlPr>
                    </m:fPr>
                    <m:num>
                      <m:r>
                        <w:rPr>
                          <w:rFonts w:ascii="Cambria Math" w:eastAsia="Malgun Gothic" w:hAnsi="Cambria Math"/>
                          <w:sz w:val="20"/>
                          <w:szCs w:val="20"/>
                          <w:lang w:eastAsia="ja-JP"/>
                        </w:rPr>
                        <m:t>ϑ</m:t>
                      </m:r>
                      <m:sSubSup>
                        <m:sSubSupPr>
                          <m:ctrlPr>
                            <w:rPr>
                              <w:rFonts w:ascii="Cambria Math" w:eastAsia="Malgun Gothic" w:hAnsi="Cambria Math"/>
                              <w:i/>
                              <w:sz w:val="20"/>
                              <w:szCs w:val="20"/>
                              <w:lang w:eastAsia="ja-JP"/>
                            </w:rPr>
                          </m:ctrlPr>
                        </m:sSubSupPr>
                        <m:e>
                          <m:r>
                            <w:rPr>
                              <w:rFonts w:ascii="Cambria Math" w:eastAsia="Malgun Gothic" w:hAnsi="Cambria Math"/>
                              <w:sz w:val="20"/>
                              <w:szCs w:val="20"/>
                              <w:lang w:eastAsia="ja-JP"/>
                            </w:rPr>
                            <m:t>s</m:t>
                          </m:r>
                        </m:e>
                        <m:sub>
                          <m:r>
                            <w:rPr>
                              <w:rFonts w:ascii="Cambria Math" w:eastAsia="Malgun Gothic" w:hAnsi="Cambria Math"/>
                              <w:sz w:val="20"/>
                              <w:szCs w:val="20"/>
                              <w:lang w:eastAsia="ja-JP"/>
                            </w:rPr>
                            <m:t>i</m:t>
                          </m:r>
                        </m:sub>
                        <m:sup>
                          <m:r>
                            <w:rPr>
                              <w:rFonts w:ascii="Cambria Math" w:eastAsia="Malgun Gothic" w:hAnsi="Cambria Math"/>
                              <w:sz w:val="20"/>
                              <w:szCs w:val="20"/>
                              <w:lang w:eastAsia="ja-JP"/>
                            </w:rPr>
                            <m:t>2</m:t>
                          </m:r>
                        </m:sup>
                      </m:sSubSup>
                    </m:num>
                    <m:den>
                      <m:sSub>
                        <m:sSubPr>
                          <m:ctrlPr>
                            <w:rPr>
                              <w:rFonts w:ascii="Cambria Math" w:eastAsia="Malgun Gothic" w:hAnsi="Cambria Math"/>
                              <w:i/>
                              <w:sz w:val="20"/>
                              <w:szCs w:val="20"/>
                              <w:lang w:eastAsia="ja-JP"/>
                            </w:rPr>
                          </m:ctrlPr>
                        </m:sSubPr>
                        <m:e>
                          <m:r>
                            <w:rPr>
                              <w:rFonts w:ascii="Cambria Math" w:eastAsia="Malgun Gothic" w:hAnsi="Cambria Math"/>
                              <w:sz w:val="20"/>
                              <w:szCs w:val="20"/>
                              <w:lang w:eastAsia="ja-JP"/>
                            </w:rPr>
                            <m:t>r</m:t>
                          </m:r>
                        </m:e>
                        <m:sub>
                          <m:r>
                            <w:rPr>
                              <w:rFonts w:ascii="Cambria Math" w:eastAsia="Malgun Gothic" w:hAnsi="Cambria Math"/>
                              <w:sz w:val="20"/>
                              <w:szCs w:val="20"/>
                              <w:lang w:eastAsia="ja-JP"/>
                            </w:rPr>
                            <m:t>i</m:t>
                          </m:r>
                        </m:sub>
                      </m:sSub>
                    </m:den>
                  </m:f>
                </m:e>
              </m:d>
            </m:oMath>
            <w:r w:rsidRPr="002B690E">
              <w:rPr>
                <w:rFonts w:eastAsia="Malgun Gothic"/>
                <w:sz w:val="20"/>
                <w:szCs w:val="20"/>
                <w:lang w:eastAsia="ja-JP"/>
              </w:rPr>
              <w:t xml:space="preserve">, where unit scaling factor “1” is associated with the PDSCH-to-CSIRS EPRE offset “portion” contributed by </w:t>
            </w:r>
            <w:r w:rsidRPr="002B690E">
              <w:rPr>
                <w:rFonts w:eastAsia="Malgun Gothic"/>
                <w:iCs/>
                <w:sz w:val="20"/>
                <w:szCs w:val="20"/>
                <w:lang w:eastAsia="ja-JP"/>
              </w:rPr>
              <w:t xml:space="preserve">the </w:t>
            </w:r>
            <m:oMath>
              <m:sSup>
                <m:sSupPr>
                  <m:ctrlPr>
                    <w:rPr>
                      <w:rFonts w:ascii="Cambria Math" w:eastAsia="Malgun Gothic" w:hAnsi="Cambria Math"/>
                      <w:i/>
                      <w:iCs/>
                      <w:sz w:val="20"/>
                      <w:szCs w:val="20"/>
                      <w:lang w:eastAsia="ja-JP"/>
                    </w:rPr>
                  </m:ctrlPr>
                </m:sSupPr>
                <m:e>
                  <m:r>
                    <w:rPr>
                      <w:rFonts w:ascii="Cambria Math" w:eastAsia="Malgun Gothic" w:hAnsi="Cambria Math"/>
                      <w:sz w:val="20"/>
                      <w:szCs w:val="20"/>
                      <w:lang w:eastAsia="ja-JP"/>
                    </w:rPr>
                    <m:t>i</m:t>
                  </m:r>
                </m:e>
                <m:sup>
                  <m:r>
                    <w:rPr>
                      <w:rFonts w:ascii="Cambria Math" w:eastAsia="Malgun Gothic" w:hAnsi="Cambria Math"/>
                      <w:sz w:val="20"/>
                      <w:szCs w:val="20"/>
                      <w:lang w:eastAsia="ja-JP"/>
                    </w:rPr>
                    <m:t>th</m:t>
                  </m:r>
                </m:sup>
              </m:sSup>
            </m:oMath>
            <w:r w:rsidRPr="002B690E">
              <w:rPr>
                <w:rFonts w:eastAsia="Malgun Gothic"/>
                <w:iCs/>
                <w:sz w:val="20"/>
                <w:szCs w:val="20"/>
                <w:lang w:eastAsia="ja-JP"/>
              </w:rPr>
              <w:t xml:space="preserve"> selected SD basis vector without the 3-bit scaling factor </w:t>
            </w:r>
            <m:oMath>
              <m:sSub>
                <m:sSubPr>
                  <m:ctrlPr>
                    <w:rPr>
                      <w:rFonts w:ascii="Cambria Math" w:eastAsia="Malgun Gothic" w:hAnsi="Cambria Math"/>
                      <w:i/>
                      <w:sz w:val="20"/>
                      <w:szCs w:val="20"/>
                      <w:lang w:eastAsia="ja-JP"/>
                    </w:rPr>
                  </m:ctrlPr>
                </m:sSubPr>
                <m:e>
                  <m:r>
                    <w:rPr>
                      <w:rFonts w:ascii="Cambria Math" w:eastAsia="Malgun Gothic" w:hAnsi="Cambria Math"/>
                      <w:sz w:val="20"/>
                      <w:szCs w:val="20"/>
                      <w:lang w:eastAsia="ja-JP"/>
                    </w:rPr>
                    <m:t>s</m:t>
                  </m:r>
                </m:e>
                <m:sub>
                  <m:r>
                    <w:rPr>
                      <w:rFonts w:ascii="Cambria Math" w:eastAsia="Malgun Gothic" w:hAnsi="Cambria Math"/>
                      <w:sz w:val="20"/>
                      <w:szCs w:val="20"/>
                      <w:lang w:eastAsia="ja-JP"/>
                    </w:rPr>
                    <m:t>i</m:t>
                  </m:r>
                </m:sub>
              </m:sSub>
            </m:oMath>
            <w:r w:rsidRPr="002B690E">
              <w:rPr>
                <w:rFonts w:eastAsia="Malgun Gothic"/>
                <w:iCs/>
                <w:sz w:val="20"/>
                <w:szCs w:val="20"/>
                <w:lang w:eastAsia="ja-JP"/>
              </w:rPr>
              <w:t xml:space="preserve"> configured</w:t>
            </w:r>
            <w:r w:rsidRPr="002B690E">
              <w:rPr>
                <w:rFonts w:eastAsia="Malgun Gothic"/>
                <w:sz w:val="20"/>
                <w:szCs w:val="20"/>
                <w:lang w:eastAsia="ja-JP"/>
              </w:rPr>
              <w:t xml:space="preserve">, e.g. </w:t>
            </w:r>
            <m:oMath>
              <m:sSub>
                <m:sSubPr>
                  <m:ctrlPr>
                    <w:rPr>
                      <w:rFonts w:ascii="Cambria Math" w:eastAsia="Malgun Gothic" w:hAnsi="Cambria Math"/>
                      <w:i/>
                      <w:sz w:val="20"/>
                      <w:szCs w:val="20"/>
                      <w:lang w:eastAsia="ja-JP"/>
                    </w:rPr>
                  </m:ctrlPr>
                </m:sSubPr>
                <m:e>
                  <m:r>
                    <w:rPr>
                      <w:rFonts w:ascii="Cambria Math" w:eastAsia="Malgun Gothic" w:hAnsi="Cambria Math"/>
                      <w:sz w:val="20"/>
                      <w:szCs w:val="20"/>
                      <w:lang w:eastAsia="ja-JP"/>
                    </w:rPr>
                    <m:t>s</m:t>
                  </m:r>
                </m:e>
                <m:sub>
                  <m:r>
                    <w:rPr>
                      <w:rFonts w:ascii="Cambria Math" w:eastAsia="Malgun Gothic" w:hAnsi="Cambria Math"/>
                      <w:sz w:val="20"/>
                      <w:szCs w:val="20"/>
                      <w:lang w:eastAsia="ja-JP"/>
                    </w:rPr>
                    <m:t>i</m:t>
                  </m:r>
                </m:sub>
              </m:sSub>
              <m:r>
                <w:rPr>
                  <w:rFonts w:ascii="Cambria Math" w:eastAsia="Malgun Gothic" w:hAnsi="Cambria Math"/>
                  <w:sz w:val="20"/>
                  <w:szCs w:val="20"/>
                  <w:lang w:eastAsia="ja-JP"/>
                </w:rPr>
                <m:t>∈</m:t>
              </m:r>
              <m:d>
                <m:dPr>
                  <m:begChr m:val="{"/>
                  <m:endChr m:val="}"/>
                  <m:ctrlPr>
                    <w:rPr>
                      <w:rFonts w:ascii="Cambria Math" w:hAnsi="Cambria Math"/>
                      <w:i/>
                      <w:iCs/>
                      <w:sz w:val="20"/>
                      <w:szCs w:val="20"/>
                    </w:rPr>
                  </m:ctrlPr>
                </m:dPr>
                <m:e>
                  <m:rad>
                    <m:radPr>
                      <m:degHide m:val="1"/>
                      <m:ctrlPr>
                        <w:rPr>
                          <w:rFonts w:ascii="Cambria Math" w:hAnsi="Cambria Math"/>
                          <w:i/>
                          <w:iCs/>
                          <w:sz w:val="20"/>
                          <w:szCs w:val="20"/>
                        </w:rPr>
                      </m:ctrlPr>
                    </m:radPr>
                    <m:deg/>
                    <m:e>
                      <m:r>
                        <w:rPr>
                          <w:rFonts w:ascii="Cambria Math" w:hAnsi="Cambria Math"/>
                          <w:sz w:val="20"/>
                          <w:szCs w:val="20"/>
                        </w:rPr>
                        <m:t>1</m:t>
                      </m:r>
                    </m:e>
                  </m:rad>
                  <m:r>
                    <m:rPr>
                      <m:sty m:val="p"/>
                    </m:rPr>
                    <w:rPr>
                      <w:rFonts w:ascii="Cambria Math" w:hAnsi="Cambria Math"/>
                      <w:sz w:val="20"/>
                      <w:szCs w:val="20"/>
                    </w:rPr>
                    <m:t>, </m:t>
                  </m:r>
                  <m:rad>
                    <m:radPr>
                      <m:degHide m:val="1"/>
                      <m:ctrlPr>
                        <w:rPr>
                          <w:rFonts w:ascii="Cambria Math" w:hAnsi="Cambria Math"/>
                          <w:i/>
                          <w:iCs/>
                          <w:sz w:val="20"/>
                          <w:szCs w:val="20"/>
                        </w:rPr>
                      </m:ctrlPr>
                    </m:radPr>
                    <m:deg/>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2</m:t>
                          </m:r>
                        </m:den>
                      </m:f>
                    </m:e>
                  </m:rad>
                  <m:r>
                    <m:rPr>
                      <m:sty m:val="p"/>
                    </m:rPr>
                    <w:rPr>
                      <w:rFonts w:ascii="Cambria Math" w:hAnsi="Cambria Math"/>
                      <w:sz w:val="20"/>
                      <w:szCs w:val="20"/>
                    </w:rPr>
                    <m:t>, </m:t>
                  </m:r>
                  <m:rad>
                    <m:radPr>
                      <m:degHide m:val="1"/>
                      <m:ctrlPr>
                        <w:rPr>
                          <w:rFonts w:ascii="Cambria Math" w:hAnsi="Cambria Math"/>
                          <w:i/>
                          <w:iCs/>
                          <w:sz w:val="20"/>
                          <w:szCs w:val="20"/>
                        </w:rPr>
                      </m:ctrlPr>
                    </m:radPr>
                    <m:deg/>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3</m:t>
                          </m:r>
                        </m:den>
                      </m:f>
                    </m:e>
                  </m:rad>
                  <m:r>
                    <m:rPr>
                      <m:sty m:val="p"/>
                    </m:rPr>
                    <w:rPr>
                      <w:rFonts w:ascii="Cambria Math" w:hAnsi="Cambria Math"/>
                      <w:sz w:val="20"/>
                      <w:szCs w:val="20"/>
                    </w:rPr>
                    <m:t> ,</m:t>
                  </m:r>
                  <m:rad>
                    <m:radPr>
                      <m:degHide m:val="1"/>
                      <m:ctrlPr>
                        <w:rPr>
                          <w:rFonts w:ascii="Cambria Math" w:hAnsi="Cambria Math"/>
                          <w:i/>
                          <w:iCs/>
                          <w:sz w:val="20"/>
                          <w:szCs w:val="20"/>
                        </w:rPr>
                      </m:ctrlPr>
                    </m:radPr>
                    <m:deg/>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4</m:t>
                          </m:r>
                        </m:den>
                      </m:f>
                    </m:e>
                  </m:rad>
                  <m:r>
                    <m:rPr>
                      <m:sty m:val="p"/>
                    </m:rPr>
                    <w:rPr>
                      <w:rFonts w:ascii="Cambria Math" w:hAnsi="Cambria Math"/>
                      <w:sz w:val="20"/>
                      <w:szCs w:val="20"/>
                    </w:rPr>
                    <m:t>,</m:t>
                  </m:r>
                  <m:rad>
                    <m:radPr>
                      <m:degHide m:val="1"/>
                      <m:ctrlPr>
                        <w:rPr>
                          <w:rFonts w:ascii="Cambria Math" w:hAnsi="Cambria Math"/>
                          <w:i/>
                          <w:iCs/>
                          <w:sz w:val="20"/>
                          <w:szCs w:val="20"/>
                        </w:rPr>
                      </m:ctrlPr>
                    </m:radPr>
                    <m:deg/>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6</m:t>
                          </m:r>
                        </m:den>
                      </m:f>
                    </m:e>
                  </m:rad>
                  <m:r>
                    <m:rPr>
                      <m:sty m:val="p"/>
                    </m:rPr>
                    <w:rPr>
                      <w:rFonts w:ascii="Cambria Math" w:hAnsi="Cambria Math"/>
                      <w:sz w:val="20"/>
                      <w:szCs w:val="20"/>
                    </w:rPr>
                    <m:t>,</m:t>
                  </m:r>
                  <m:rad>
                    <m:radPr>
                      <m:degHide m:val="1"/>
                      <m:ctrlPr>
                        <w:rPr>
                          <w:rFonts w:ascii="Cambria Math" w:hAnsi="Cambria Math"/>
                          <w:i/>
                          <w:iCs/>
                          <w:sz w:val="20"/>
                          <w:szCs w:val="20"/>
                        </w:rPr>
                      </m:ctrlPr>
                    </m:radPr>
                    <m:deg/>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8</m:t>
                          </m:r>
                        </m:den>
                      </m:f>
                    </m:e>
                  </m:rad>
                  <m:r>
                    <m:rPr>
                      <m:sty m:val="p"/>
                    </m:rPr>
                    <w:rPr>
                      <w:rFonts w:ascii="Cambria Math" w:hAnsi="Cambria Math"/>
                      <w:sz w:val="20"/>
                      <w:szCs w:val="20"/>
                    </w:rPr>
                    <m:t>,</m:t>
                  </m:r>
                  <m:rad>
                    <m:radPr>
                      <m:degHide m:val="1"/>
                      <m:ctrlPr>
                        <w:rPr>
                          <w:rFonts w:ascii="Cambria Math" w:hAnsi="Cambria Math"/>
                          <w:i/>
                          <w:iCs/>
                          <w:sz w:val="20"/>
                          <w:szCs w:val="20"/>
                        </w:rPr>
                      </m:ctrlPr>
                    </m:radPr>
                    <m:deg/>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12</m:t>
                          </m:r>
                        </m:den>
                      </m:f>
                    </m:e>
                  </m:rad>
                  <m:r>
                    <m:rPr>
                      <m:sty m:val="p"/>
                    </m:rPr>
                    <w:rPr>
                      <w:rFonts w:ascii="Cambria Math" w:hAnsi="Cambria Math"/>
                      <w:sz w:val="20"/>
                      <w:szCs w:val="20"/>
                    </w:rPr>
                    <m:t>,</m:t>
                  </m:r>
                  <m:rad>
                    <m:radPr>
                      <m:degHide m:val="1"/>
                      <m:ctrlPr>
                        <w:rPr>
                          <w:rFonts w:ascii="Cambria Math" w:hAnsi="Cambria Math"/>
                          <w:i/>
                          <w:iCs/>
                          <w:sz w:val="20"/>
                          <w:szCs w:val="20"/>
                        </w:rPr>
                      </m:ctrlPr>
                    </m:radPr>
                    <m:deg/>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16</m:t>
                          </m:r>
                        </m:den>
                      </m:f>
                    </m:e>
                  </m:rad>
                </m:e>
              </m:d>
              <m:r>
                <w:rPr>
                  <w:rFonts w:ascii="Cambria Math" w:hAnsi="Cambria Math"/>
                  <w:sz w:val="20"/>
                  <w:szCs w:val="20"/>
                </w:rPr>
                <m:t xml:space="preserve"> </m:t>
              </m:r>
            </m:oMath>
            <w:r w:rsidRPr="002B690E">
              <w:rPr>
                <w:rFonts w:eastAsia="Malgun Gothic"/>
                <w:iCs/>
                <w:sz w:val="20"/>
                <w:szCs w:val="20"/>
              </w:rPr>
              <w:t xml:space="preserve"> is the scaling factor associated with the </w:t>
            </w:r>
            <m:oMath>
              <m:sSup>
                <m:sSupPr>
                  <m:ctrlPr>
                    <w:rPr>
                      <w:rFonts w:ascii="Cambria Math" w:eastAsia="Malgun Gothic" w:hAnsi="Cambria Math"/>
                      <w:i/>
                      <w:iCs/>
                      <w:sz w:val="20"/>
                      <w:szCs w:val="20"/>
                    </w:rPr>
                  </m:ctrlPr>
                </m:sSupPr>
                <m:e>
                  <m:r>
                    <w:rPr>
                      <w:rFonts w:ascii="Cambria Math" w:eastAsia="Malgun Gothic" w:hAnsi="Cambria Math"/>
                      <w:sz w:val="20"/>
                      <w:szCs w:val="20"/>
                    </w:rPr>
                    <m:t>i</m:t>
                  </m:r>
                </m:e>
                <m:sup>
                  <m:r>
                    <w:rPr>
                      <w:rFonts w:ascii="Cambria Math" w:eastAsia="Malgun Gothic" w:hAnsi="Cambria Math"/>
                      <w:sz w:val="20"/>
                      <w:szCs w:val="20"/>
                    </w:rPr>
                    <m:t>th</m:t>
                  </m:r>
                </m:sup>
              </m:sSup>
            </m:oMath>
            <w:r w:rsidRPr="002B690E">
              <w:rPr>
                <w:rFonts w:eastAsia="Malgun Gothic"/>
                <w:iCs/>
                <w:sz w:val="20"/>
                <w:szCs w:val="20"/>
              </w:rPr>
              <w:t xml:space="preserve"> SD basis vector, and </w:t>
            </w:r>
            <m:oMath>
              <m:sSub>
                <m:sSubPr>
                  <m:ctrlPr>
                    <w:rPr>
                      <w:rFonts w:ascii="Cambria Math" w:eastAsia="Malgun Gothic" w:hAnsi="Cambria Math"/>
                      <w:i/>
                      <w:sz w:val="20"/>
                      <w:szCs w:val="20"/>
                      <w:lang w:eastAsia="ja-JP"/>
                    </w:rPr>
                  </m:ctrlPr>
                </m:sSubPr>
                <m:e>
                  <m:r>
                    <w:rPr>
                      <w:rFonts w:ascii="Cambria Math" w:eastAsia="Malgun Gothic" w:hAnsi="Cambria Math"/>
                      <w:sz w:val="20"/>
                      <w:szCs w:val="20"/>
                      <w:lang w:eastAsia="ja-JP"/>
                    </w:rPr>
                    <m:t>r</m:t>
                  </m:r>
                </m:e>
                <m:sub>
                  <m:r>
                    <w:rPr>
                      <w:rFonts w:ascii="Cambria Math" w:eastAsia="Malgun Gothic" w:hAnsi="Cambria Math"/>
                      <w:sz w:val="20"/>
                      <w:szCs w:val="20"/>
                      <w:lang w:eastAsia="ja-JP"/>
                    </w:rPr>
                    <m:t>i</m:t>
                  </m:r>
                </m:sub>
              </m:sSub>
              <m:r>
                <w:rPr>
                  <w:rFonts w:ascii="Cambria Math" w:eastAsia="Malgun Gothic" w:hAnsi="Cambria Math"/>
                  <w:sz w:val="20"/>
                  <w:szCs w:val="20"/>
                  <w:lang w:eastAsia="ja-JP"/>
                </w:rPr>
                <m:t>∈</m:t>
              </m:r>
              <m:d>
                <m:dPr>
                  <m:begChr m:val="{"/>
                  <m:endChr m:val="}"/>
                  <m:ctrlPr>
                    <w:rPr>
                      <w:rFonts w:ascii="Cambria Math" w:eastAsia="Malgun Gothic" w:hAnsi="Cambria Math"/>
                      <w:i/>
                      <w:sz w:val="20"/>
                      <w:szCs w:val="20"/>
                    </w:rPr>
                  </m:ctrlPr>
                </m:dPr>
                <m:e>
                  <m:r>
                    <w:rPr>
                      <w:rFonts w:ascii="Cambria Math" w:eastAsia="Malgun Gothic" w:hAnsi="Cambria Math"/>
                      <w:sz w:val="20"/>
                      <w:szCs w:val="20"/>
                    </w:rPr>
                    <m:t>1,2</m:t>
                  </m:r>
                </m:e>
              </m:d>
            </m:oMath>
            <w:r w:rsidRPr="002B690E">
              <w:rPr>
                <w:rFonts w:eastAsia="Malgun Gothic"/>
                <w:sz w:val="20"/>
                <w:szCs w:val="20"/>
                <w:lang w:eastAsia="ja-JP"/>
              </w:rPr>
              <w:t xml:space="preserve"> is the number of layers transmitted using the </w:t>
            </w:r>
            <m:oMath>
              <m:sSup>
                <m:sSupPr>
                  <m:ctrlPr>
                    <w:rPr>
                      <w:rFonts w:ascii="Cambria Math" w:eastAsia="Malgun Gothic" w:hAnsi="Cambria Math"/>
                      <w:i/>
                      <w:sz w:val="20"/>
                      <w:szCs w:val="20"/>
                      <w:lang w:eastAsia="ja-JP"/>
                    </w:rPr>
                  </m:ctrlPr>
                </m:sSupPr>
                <m:e>
                  <m:r>
                    <w:rPr>
                      <w:rFonts w:ascii="Cambria Math" w:eastAsia="Malgun Gothic" w:hAnsi="Cambria Math"/>
                      <w:sz w:val="20"/>
                      <w:szCs w:val="20"/>
                      <w:lang w:eastAsia="ja-JP"/>
                    </w:rPr>
                    <m:t>i</m:t>
                  </m:r>
                </m:e>
                <m:sup>
                  <m:r>
                    <w:rPr>
                      <w:rFonts w:ascii="Cambria Math" w:eastAsia="Malgun Gothic" w:hAnsi="Cambria Math"/>
                      <w:sz w:val="20"/>
                      <w:szCs w:val="20"/>
                      <w:lang w:eastAsia="ja-JP"/>
                    </w:rPr>
                    <m:t>th</m:t>
                  </m:r>
                </m:sup>
              </m:sSup>
            </m:oMath>
            <w:r w:rsidRPr="002B690E">
              <w:rPr>
                <w:rFonts w:eastAsia="Malgun Gothic"/>
                <w:sz w:val="20"/>
                <w:szCs w:val="20"/>
                <w:lang w:eastAsia="ja-JP"/>
              </w:rPr>
              <w:t xml:space="preserve"> SD basis vector.</w:t>
            </w:r>
          </w:p>
          <w:p w:rsidR="00352FF1" w:rsidRPr="002B690E" w:rsidRDefault="00352FF1" w:rsidP="00352FF1">
            <w:pPr>
              <w:widowControl w:val="0"/>
              <w:numPr>
                <w:ilvl w:val="0"/>
                <w:numId w:val="835"/>
              </w:numPr>
              <w:snapToGrid w:val="0"/>
              <w:rPr>
                <w:iCs/>
                <w:sz w:val="20"/>
                <w:szCs w:val="20"/>
              </w:rPr>
            </w:pPr>
            <w:r w:rsidRPr="002B690E">
              <w:rPr>
                <w:iCs/>
                <w:sz w:val="20"/>
                <w:szCs w:val="20"/>
              </w:rPr>
              <w:t>Note: This feature is a separate UE capability</w:t>
            </w:r>
          </w:p>
          <w:p w:rsidR="00352FF1" w:rsidRPr="002B690E" w:rsidRDefault="00352FF1" w:rsidP="00352FF1">
            <w:pPr>
              <w:widowControl w:val="0"/>
              <w:numPr>
                <w:ilvl w:val="0"/>
                <w:numId w:val="835"/>
              </w:numPr>
              <w:snapToGrid w:val="0"/>
              <w:rPr>
                <w:iCs/>
                <w:sz w:val="20"/>
                <w:szCs w:val="20"/>
              </w:rPr>
            </w:pPr>
            <w:r w:rsidRPr="002B690E">
              <w:rPr>
                <w:iCs/>
                <w:sz w:val="20"/>
                <w:szCs w:val="20"/>
              </w:rPr>
              <w:t>Study whether per-SD-basis-vector/layer power adjustment (including boosting) needs to be supported in addition</w:t>
            </w:r>
          </w:p>
          <w:p w:rsidR="00352FF1" w:rsidRDefault="00352FF1" w:rsidP="007B78A6">
            <w:pPr>
              <w:pStyle w:val="0Maintext"/>
              <w:spacing w:after="120" w:afterAutospacing="0" w:line="240" w:lineRule="auto"/>
              <w:ind w:firstLine="0"/>
              <w:rPr>
                <w:lang w:val="en-US" w:eastAsia="zh-CN"/>
              </w:rPr>
            </w:pPr>
          </w:p>
        </w:tc>
      </w:tr>
    </w:tbl>
    <w:p w:rsidR="00352FF1" w:rsidRDefault="00352FF1" w:rsidP="007B78A6">
      <w:pPr>
        <w:pStyle w:val="0Maintext"/>
        <w:spacing w:after="120" w:afterAutospacing="0" w:line="240" w:lineRule="auto"/>
        <w:ind w:firstLine="0"/>
        <w:rPr>
          <w:lang w:val="en-US" w:eastAsia="zh-CN"/>
        </w:rPr>
      </w:pPr>
    </w:p>
    <w:p w:rsidR="00352FF1" w:rsidRDefault="00117472" w:rsidP="007B78A6">
      <w:pPr>
        <w:pStyle w:val="0Maintext"/>
        <w:spacing w:after="120" w:afterAutospacing="0" w:line="240" w:lineRule="auto"/>
        <w:ind w:firstLine="0"/>
        <w:rPr>
          <w:lang w:val="en-US" w:eastAsia="zh-CN"/>
        </w:rPr>
      </w:pPr>
      <w:r>
        <w:rPr>
          <w:lang w:val="en-US" w:eastAsia="zh-CN"/>
        </w:rPr>
        <w:t xml:space="preserve">When power scaling is applied for some layers, it is possible to borrow the scaled power to other layers as shown in Figure 1. Such layers can be based on the beams configured with the power scaling factor 1. Further, the power scaling for rank&gt;1 should be a separate UE capability. Therefore, an RRC parameter should be introduced to configure whether the power scaling for rank&gt;1 is enabled or not. </w:t>
      </w:r>
    </w:p>
    <w:p w:rsidR="00117472" w:rsidRDefault="00117472" w:rsidP="00117472">
      <w:pPr>
        <w:pStyle w:val="0Maintext"/>
        <w:spacing w:after="120" w:afterAutospacing="0" w:line="240" w:lineRule="auto"/>
        <w:ind w:firstLine="0"/>
        <w:jc w:val="center"/>
        <w:rPr>
          <w:lang w:val="en-US" w:eastAsia="zh-CN"/>
        </w:rPr>
      </w:pPr>
      <w:r w:rsidRPr="00117472">
        <w:rPr>
          <w:noProof/>
          <w:lang w:val="en-US" w:eastAsia="zh-CN"/>
        </w:rPr>
        <w:drawing>
          <wp:inline distT="0" distB="0" distL="0" distR="0" wp14:anchorId="6B1F7831" wp14:editId="6E167EB0">
            <wp:extent cx="5727700" cy="798830"/>
            <wp:effectExtent l="0" t="0" r="0" b="1270"/>
            <wp:docPr id="17518548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1854838" name=""/>
                    <pic:cNvPicPr/>
                  </pic:nvPicPr>
                  <pic:blipFill>
                    <a:blip r:embed="rId5"/>
                    <a:stretch>
                      <a:fillRect/>
                    </a:stretch>
                  </pic:blipFill>
                  <pic:spPr>
                    <a:xfrm>
                      <a:off x="0" y="0"/>
                      <a:ext cx="5727700" cy="798830"/>
                    </a:xfrm>
                    <a:prstGeom prst="rect">
                      <a:avLst/>
                    </a:prstGeom>
                  </pic:spPr>
                </pic:pic>
              </a:graphicData>
            </a:graphic>
          </wp:inline>
        </w:drawing>
      </w:r>
    </w:p>
    <w:p w:rsidR="00117472" w:rsidRPr="00117472" w:rsidRDefault="00117472" w:rsidP="00117472">
      <w:pPr>
        <w:pStyle w:val="0Maintext"/>
        <w:spacing w:after="120" w:afterAutospacing="0" w:line="240" w:lineRule="auto"/>
        <w:ind w:firstLine="0"/>
        <w:jc w:val="center"/>
        <w:rPr>
          <w:b/>
          <w:bCs/>
          <w:lang w:val="en-US" w:eastAsia="zh-CN"/>
        </w:rPr>
      </w:pPr>
      <w:r w:rsidRPr="00117472">
        <w:rPr>
          <w:b/>
          <w:bCs/>
          <w:lang w:val="en-US" w:eastAsia="zh-CN"/>
        </w:rPr>
        <w:t>Figure 1: Inter-layer power borrowing based on power scaling</w:t>
      </w:r>
    </w:p>
    <w:p w:rsidR="00117472" w:rsidRDefault="00117472" w:rsidP="007B78A6">
      <w:pPr>
        <w:pStyle w:val="0Maintext"/>
        <w:spacing w:after="120" w:afterAutospacing="0" w:line="240" w:lineRule="auto"/>
        <w:ind w:firstLine="0"/>
        <w:rPr>
          <w:lang w:val="en-US" w:eastAsia="zh-CN"/>
        </w:rPr>
      </w:pPr>
    </w:p>
    <w:p w:rsidR="00117472" w:rsidRPr="00EE70F0" w:rsidRDefault="00117472" w:rsidP="00117472">
      <w:pPr>
        <w:widowControl w:val="0"/>
        <w:snapToGrid w:val="0"/>
        <w:jc w:val="both"/>
        <w:rPr>
          <w:rFonts w:eastAsia="Malgun Gothic"/>
          <w:b/>
          <w:bCs/>
          <w:i/>
          <w:sz w:val="20"/>
          <w:szCs w:val="20"/>
          <w:lang w:eastAsia="ja-JP"/>
        </w:rPr>
      </w:pPr>
      <w:r w:rsidRPr="00EE70F0">
        <w:rPr>
          <w:b/>
          <w:bCs/>
          <w:i/>
          <w:sz w:val="20"/>
          <w:szCs w:val="20"/>
        </w:rPr>
        <w:t xml:space="preserve">Proposal 2: For the Rel-19 Type-I codebook refinement for 48, 64, and 128 CSI-RS ports, </w:t>
      </w:r>
      <w:r w:rsidRPr="00EE70F0">
        <w:rPr>
          <w:b/>
          <w:bCs/>
          <w:i/>
          <w:color w:val="FF0000"/>
          <w:sz w:val="20"/>
          <w:szCs w:val="20"/>
          <w:u w:val="single"/>
        </w:rPr>
        <w:t>support</w:t>
      </w:r>
      <w:r w:rsidRPr="00EE70F0">
        <w:rPr>
          <w:b/>
          <w:bCs/>
          <w:i/>
          <w:sz w:val="20"/>
          <w:szCs w:val="20"/>
        </w:rPr>
        <w:t>, for RI=</w:t>
      </w:r>
      <w:r w:rsidRPr="00EE70F0">
        <w:rPr>
          <w:rFonts w:eastAsia="Malgun Gothic"/>
          <w:b/>
          <w:bCs/>
          <w:i/>
          <w:sz w:val="20"/>
          <w:szCs w:val="20"/>
          <w:lang w:eastAsia="ja-JP"/>
        </w:rPr>
        <w:t xml:space="preserve"> </w:t>
      </w:r>
      <m:oMath>
        <m:r>
          <m:rPr>
            <m:sty m:val="bi"/>
          </m:rPr>
          <w:rPr>
            <w:rFonts w:ascii="Cambria Math" w:eastAsia="Malgun Gothic" w:hAnsi="Cambria Math"/>
            <w:sz w:val="20"/>
            <w:szCs w:val="20"/>
            <w:lang w:eastAsia="ja-JP"/>
          </w:rPr>
          <m:t>ϑ</m:t>
        </m:r>
      </m:oMath>
      <w:r w:rsidRPr="00EE70F0">
        <w:rPr>
          <w:b/>
          <w:bCs/>
          <w:i/>
          <w:sz w:val="20"/>
          <w:szCs w:val="20"/>
        </w:rPr>
        <w:t xml:space="preserve"> &gt;1, applying the 3-bit scaling factor(s) as agreed in RAN1#117, where a per-layer scaling factor applied to </w:t>
      </w:r>
      <w:r w:rsidRPr="00EE70F0">
        <w:rPr>
          <w:b/>
          <w:bCs/>
          <w:i/>
          <w:sz w:val="20"/>
          <w:szCs w:val="20"/>
        </w:rPr>
        <w:lastRenderedPageBreak/>
        <w:t xml:space="preserve">the </w:t>
      </w:r>
      <m:oMath>
        <m:sSup>
          <m:sSupPr>
            <m:ctrlPr>
              <w:rPr>
                <w:rFonts w:ascii="Cambria Math" w:hAnsi="Cambria Math"/>
                <w:b/>
                <w:bCs/>
                <w:i/>
                <w:sz w:val="20"/>
                <w:szCs w:val="20"/>
              </w:rPr>
            </m:ctrlPr>
          </m:sSupPr>
          <m:e>
            <m:r>
              <m:rPr>
                <m:sty m:val="bi"/>
              </m:rPr>
              <w:rPr>
                <w:rFonts w:ascii="Cambria Math" w:hAnsi="Cambria Math"/>
                <w:sz w:val="20"/>
                <w:szCs w:val="20"/>
              </w:rPr>
              <m:t>i</m:t>
            </m:r>
          </m:e>
          <m:sup>
            <m:r>
              <m:rPr>
                <m:sty m:val="bi"/>
              </m:rPr>
              <w:rPr>
                <w:rFonts w:ascii="Cambria Math" w:hAnsi="Cambria Math"/>
                <w:sz w:val="20"/>
                <w:szCs w:val="20"/>
              </w:rPr>
              <m:t>th</m:t>
            </m:r>
          </m:sup>
        </m:sSup>
      </m:oMath>
      <w:r w:rsidRPr="00EE70F0">
        <w:rPr>
          <w:rFonts w:eastAsia="Malgun Gothic"/>
          <w:b/>
          <w:bCs/>
          <w:i/>
          <w:sz w:val="20"/>
          <w:szCs w:val="20"/>
        </w:rPr>
        <w:t xml:space="preserve"> selected SD basis vector is given by e.g. </w:t>
      </w:r>
      <m:oMath>
        <m:r>
          <m:rPr>
            <m:sty m:val="bi"/>
          </m:rPr>
          <w:rPr>
            <w:rFonts w:ascii="Cambria Math" w:eastAsia="Malgun Gothic" w:hAnsi="Cambria Math"/>
            <w:sz w:val="20"/>
            <w:szCs w:val="20"/>
            <w:lang w:eastAsia="ja-JP"/>
          </w:rPr>
          <m:t>min</m:t>
        </m:r>
        <m:d>
          <m:dPr>
            <m:begChr m:val="{"/>
            <m:endChr m:val="}"/>
            <m:ctrlPr>
              <w:rPr>
                <w:rFonts w:ascii="Cambria Math" w:eastAsia="Malgun Gothic" w:hAnsi="Cambria Math"/>
                <w:b/>
                <w:bCs/>
                <w:i/>
                <w:sz w:val="20"/>
                <w:szCs w:val="20"/>
                <w:lang w:eastAsia="ja-JP"/>
              </w:rPr>
            </m:ctrlPr>
          </m:dPr>
          <m:e>
            <m:r>
              <m:rPr>
                <m:sty m:val="bi"/>
              </m:rPr>
              <w:rPr>
                <w:rFonts w:ascii="Cambria Math" w:eastAsia="Malgun Gothic" w:hAnsi="Cambria Math"/>
                <w:sz w:val="20"/>
                <w:szCs w:val="20"/>
                <w:lang w:eastAsia="ja-JP"/>
              </w:rPr>
              <m:t>1,</m:t>
            </m:r>
            <m:f>
              <m:fPr>
                <m:ctrlPr>
                  <w:rPr>
                    <w:rFonts w:ascii="Cambria Math" w:eastAsia="Malgun Gothic" w:hAnsi="Cambria Math"/>
                    <w:b/>
                    <w:bCs/>
                    <w:i/>
                    <w:sz w:val="20"/>
                    <w:szCs w:val="20"/>
                    <w:lang w:eastAsia="ja-JP"/>
                  </w:rPr>
                </m:ctrlPr>
              </m:fPr>
              <m:num>
                <m:r>
                  <m:rPr>
                    <m:sty m:val="bi"/>
                  </m:rPr>
                  <w:rPr>
                    <w:rFonts w:ascii="Cambria Math" w:eastAsia="Malgun Gothic" w:hAnsi="Cambria Math"/>
                    <w:sz w:val="20"/>
                    <w:szCs w:val="20"/>
                    <w:lang w:eastAsia="ja-JP"/>
                  </w:rPr>
                  <m:t>ϑ</m:t>
                </m:r>
                <m:sSubSup>
                  <m:sSubSupPr>
                    <m:ctrlPr>
                      <w:rPr>
                        <w:rFonts w:ascii="Cambria Math" w:eastAsia="Malgun Gothic" w:hAnsi="Cambria Math"/>
                        <w:b/>
                        <w:bCs/>
                        <w:i/>
                        <w:sz w:val="20"/>
                        <w:szCs w:val="20"/>
                        <w:lang w:eastAsia="ja-JP"/>
                      </w:rPr>
                    </m:ctrlPr>
                  </m:sSubSupPr>
                  <m:e>
                    <m:r>
                      <m:rPr>
                        <m:sty m:val="bi"/>
                      </m:rPr>
                      <w:rPr>
                        <w:rFonts w:ascii="Cambria Math" w:eastAsia="Malgun Gothic" w:hAnsi="Cambria Math"/>
                        <w:sz w:val="20"/>
                        <w:szCs w:val="20"/>
                        <w:lang w:eastAsia="ja-JP"/>
                      </w:rPr>
                      <m:t>s</m:t>
                    </m:r>
                  </m:e>
                  <m:sub>
                    <m:r>
                      <m:rPr>
                        <m:sty m:val="bi"/>
                      </m:rPr>
                      <w:rPr>
                        <w:rFonts w:ascii="Cambria Math" w:eastAsia="Malgun Gothic" w:hAnsi="Cambria Math"/>
                        <w:sz w:val="20"/>
                        <w:szCs w:val="20"/>
                        <w:lang w:eastAsia="ja-JP"/>
                      </w:rPr>
                      <m:t>i</m:t>
                    </m:r>
                  </m:sub>
                  <m:sup>
                    <m:r>
                      <m:rPr>
                        <m:sty m:val="bi"/>
                      </m:rPr>
                      <w:rPr>
                        <w:rFonts w:ascii="Cambria Math" w:eastAsia="Malgun Gothic" w:hAnsi="Cambria Math"/>
                        <w:sz w:val="20"/>
                        <w:szCs w:val="20"/>
                        <w:lang w:eastAsia="ja-JP"/>
                      </w:rPr>
                      <m:t>2</m:t>
                    </m:r>
                  </m:sup>
                </m:sSubSup>
              </m:num>
              <m:den>
                <m:sSub>
                  <m:sSubPr>
                    <m:ctrlPr>
                      <w:rPr>
                        <w:rFonts w:ascii="Cambria Math" w:eastAsia="Malgun Gothic" w:hAnsi="Cambria Math"/>
                        <w:b/>
                        <w:bCs/>
                        <w:i/>
                        <w:sz w:val="20"/>
                        <w:szCs w:val="20"/>
                        <w:lang w:eastAsia="ja-JP"/>
                      </w:rPr>
                    </m:ctrlPr>
                  </m:sSubPr>
                  <m:e>
                    <m:r>
                      <m:rPr>
                        <m:sty m:val="bi"/>
                      </m:rPr>
                      <w:rPr>
                        <w:rFonts w:ascii="Cambria Math" w:eastAsia="Malgun Gothic" w:hAnsi="Cambria Math"/>
                        <w:sz w:val="20"/>
                        <w:szCs w:val="20"/>
                        <w:lang w:eastAsia="ja-JP"/>
                      </w:rPr>
                      <m:t>r</m:t>
                    </m:r>
                  </m:e>
                  <m:sub>
                    <m:r>
                      <m:rPr>
                        <m:sty m:val="bi"/>
                      </m:rPr>
                      <w:rPr>
                        <w:rFonts w:ascii="Cambria Math" w:eastAsia="Malgun Gothic" w:hAnsi="Cambria Math"/>
                        <w:sz w:val="20"/>
                        <w:szCs w:val="20"/>
                        <w:lang w:eastAsia="ja-JP"/>
                      </w:rPr>
                      <m:t>i</m:t>
                    </m:r>
                  </m:sub>
                </m:sSub>
              </m:den>
            </m:f>
          </m:e>
        </m:d>
      </m:oMath>
      <w:r w:rsidRPr="00EE70F0">
        <w:rPr>
          <w:rFonts w:eastAsia="Malgun Gothic"/>
          <w:b/>
          <w:bCs/>
          <w:i/>
          <w:sz w:val="20"/>
          <w:szCs w:val="20"/>
          <w:lang w:eastAsia="ja-JP"/>
        </w:rPr>
        <w:t xml:space="preserve">, where unit scaling factor “1” is associated with the PDSCH-to-CSIRS EPRE offset “portion” contributed by the </w:t>
      </w:r>
      <m:oMath>
        <m:sSup>
          <m:sSupPr>
            <m:ctrlPr>
              <w:rPr>
                <w:rFonts w:ascii="Cambria Math" w:eastAsia="Malgun Gothic" w:hAnsi="Cambria Math"/>
                <w:b/>
                <w:bCs/>
                <w:i/>
                <w:sz w:val="20"/>
                <w:szCs w:val="20"/>
                <w:lang w:eastAsia="ja-JP"/>
              </w:rPr>
            </m:ctrlPr>
          </m:sSupPr>
          <m:e>
            <m:r>
              <m:rPr>
                <m:sty m:val="bi"/>
              </m:rPr>
              <w:rPr>
                <w:rFonts w:ascii="Cambria Math" w:eastAsia="Malgun Gothic" w:hAnsi="Cambria Math"/>
                <w:sz w:val="20"/>
                <w:szCs w:val="20"/>
                <w:lang w:eastAsia="ja-JP"/>
              </w:rPr>
              <m:t>i</m:t>
            </m:r>
          </m:e>
          <m:sup>
            <m:r>
              <m:rPr>
                <m:sty m:val="bi"/>
              </m:rPr>
              <w:rPr>
                <w:rFonts w:ascii="Cambria Math" w:eastAsia="Malgun Gothic" w:hAnsi="Cambria Math"/>
                <w:sz w:val="20"/>
                <w:szCs w:val="20"/>
                <w:lang w:eastAsia="ja-JP"/>
              </w:rPr>
              <m:t>th</m:t>
            </m:r>
          </m:sup>
        </m:sSup>
      </m:oMath>
      <w:r w:rsidRPr="00EE70F0">
        <w:rPr>
          <w:rFonts w:eastAsia="Malgun Gothic"/>
          <w:b/>
          <w:bCs/>
          <w:i/>
          <w:sz w:val="20"/>
          <w:szCs w:val="20"/>
          <w:lang w:eastAsia="ja-JP"/>
        </w:rPr>
        <w:t xml:space="preserve"> selected SD basis vector without the 3-bit scaling factor </w:t>
      </w:r>
      <m:oMath>
        <m:sSub>
          <m:sSubPr>
            <m:ctrlPr>
              <w:rPr>
                <w:rFonts w:ascii="Cambria Math" w:eastAsia="Malgun Gothic" w:hAnsi="Cambria Math"/>
                <w:b/>
                <w:bCs/>
                <w:i/>
                <w:sz w:val="20"/>
                <w:szCs w:val="20"/>
                <w:lang w:eastAsia="ja-JP"/>
              </w:rPr>
            </m:ctrlPr>
          </m:sSubPr>
          <m:e>
            <m:r>
              <m:rPr>
                <m:sty m:val="bi"/>
              </m:rPr>
              <w:rPr>
                <w:rFonts w:ascii="Cambria Math" w:eastAsia="Malgun Gothic" w:hAnsi="Cambria Math"/>
                <w:sz w:val="20"/>
                <w:szCs w:val="20"/>
                <w:lang w:eastAsia="ja-JP"/>
              </w:rPr>
              <m:t>s</m:t>
            </m:r>
          </m:e>
          <m:sub>
            <m:r>
              <m:rPr>
                <m:sty m:val="bi"/>
              </m:rPr>
              <w:rPr>
                <w:rFonts w:ascii="Cambria Math" w:eastAsia="Malgun Gothic" w:hAnsi="Cambria Math"/>
                <w:sz w:val="20"/>
                <w:szCs w:val="20"/>
                <w:lang w:eastAsia="ja-JP"/>
              </w:rPr>
              <m:t>i</m:t>
            </m:r>
          </m:sub>
        </m:sSub>
      </m:oMath>
      <w:r w:rsidRPr="00EE70F0">
        <w:rPr>
          <w:rFonts w:eastAsia="Malgun Gothic"/>
          <w:b/>
          <w:bCs/>
          <w:i/>
          <w:sz w:val="20"/>
          <w:szCs w:val="20"/>
          <w:lang w:eastAsia="ja-JP"/>
        </w:rPr>
        <w:t xml:space="preserve"> configured, e.g. </w:t>
      </w:r>
      <m:oMath>
        <m:sSub>
          <m:sSubPr>
            <m:ctrlPr>
              <w:rPr>
                <w:rFonts w:ascii="Cambria Math" w:eastAsia="Malgun Gothic" w:hAnsi="Cambria Math"/>
                <w:b/>
                <w:bCs/>
                <w:i/>
                <w:sz w:val="20"/>
                <w:szCs w:val="20"/>
                <w:lang w:eastAsia="ja-JP"/>
              </w:rPr>
            </m:ctrlPr>
          </m:sSubPr>
          <m:e>
            <m:r>
              <m:rPr>
                <m:sty m:val="bi"/>
              </m:rPr>
              <w:rPr>
                <w:rFonts w:ascii="Cambria Math" w:eastAsia="Malgun Gothic" w:hAnsi="Cambria Math"/>
                <w:sz w:val="20"/>
                <w:szCs w:val="20"/>
                <w:lang w:eastAsia="ja-JP"/>
              </w:rPr>
              <m:t>s</m:t>
            </m:r>
          </m:e>
          <m:sub>
            <m:r>
              <m:rPr>
                <m:sty m:val="bi"/>
              </m:rPr>
              <w:rPr>
                <w:rFonts w:ascii="Cambria Math" w:eastAsia="Malgun Gothic" w:hAnsi="Cambria Math"/>
                <w:sz w:val="20"/>
                <w:szCs w:val="20"/>
                <w:lang w:eastAsia="ja-JP"/>
              </w:rPr>
              <m:t>i</m:t>
            </m:r>
          </m:sub>
        </m:sSub>
        <m:r>
          <m:rPr>
            <m:sty m:val="bi"/>
          </m:rPr>
          <w:rPr>
            <w:rFonts w:ascii="Cambria Math" w:eastAsia="Malgun Gothic" w:hAnsi="Cambria Math"/>
            <w:sz w:val="20"/>
            <w:szCs w:val="20"/>
            <w:lang w:eastAsia="ja-JP"/>
          </w:rPr>
          <m:t>∈</m:t>
        </m:r>
        <m:d>
          <m:dPr>
            <m:begChr m:val="{"/>
            <m:endChr m:val="}"/>
            <m:ctrlPr>
              <w:rPr>
                <w:rFonts w:ascii="Cambria Math" w:hAnsi="Cambria Math"/>
                <w:b/>
                <w:bCs/>
                <w:i/>
                <w:sz w:val="20"/>
                <w:szCs w:val="20"/>
              </w:rPr>
            </m:ctrlPr>
          </m:dPr>
          <m:e>
            <m:rad>
              <m:radPr>
                <m:degHide m:val="1"/>
                <m:ctrlPr>
                  <w:rPr>
                    <w:rFonts w:ascii="Cambria Math" w:hAnsi="Cambria Math"/>
                    <w:b/>
                    <w:bCs/>
                    <w:i/>
                    <w:sz w:val="20"/>
                    <w:szCs w:val="20"/>
                  </w:rPr>
                </m:ctrlPr>
              </m:radPr>
              <m:deg/>
              <m:e>
                <m:r>
                  <m:rPr>
                    <m:sty m:val="bi"/>
                  </m:rPr>
                  <w:rPr>
                    <w:rFonts w:ascii="Cambria Math" w:hAnsi="Cambria Math"/>
                    <w:sz w:val="20"/>
                    <w:szCs w:val="20"/>
                  </w:rPr>
                  <m:t>1</m:t>
                </m:r>
              </m:e>
            </m:rad>
            <m:r>
              <m:rPr>
                <m:sty m:val="bi"/>
              </m:rPr>
              <w:rPr>
                <w:rFonts w:ascii="Cambria Math" w:hAnsi="Cambria Math"/>
                <w:sz w:val="20"/>
                <w:szCs w:val="20"/>
              </w:rPr>
              <m:t>, </m:t>
            </m:r>
            <m:rad>
              <m:radPr>
                <m:degHide m:val="1"/>
                <m:ctrlPr>
                  <w:rPr>
                    <w:rFonts w:ascii="Cambria Math" w:hAnsi="Cambria Math"/>
                    <w:b/>
                    <w:bCs/>
                    <w:i/>
                    <w:sz w:val="20"/>
                    <w:szCs w:val="20"/>
                  </w:rPr>
                </m:ctrlPr>
              </m:radPr>
              <m:deg/>
              <m:e>
                <m:f>
                  <m:fPr>
                    <m:ctrlPr>
                      <w:rPr>
                        <w:rFonts w:ascii="Cambria Math" w:hAnsi="Cambria Math"/>
                        <w:b/>
                        <w:bCs/>
                        <w:i/>
                        <w:sz w:val="20"/>
                        <w:szCs w:val="20"/>
                      </w:rPr>
                    </m:ctrlPr>
                  </m:fPr>
                  <m:num>
                    <m:r>
                      <m:rPr>
                        <m:sty m:val="bi"/>
                      </m:rPr>
                      <w:rPr>
                        <w:rFonts w:ascii="Cambria Math" w:hAnsi="Cambria Math"/>
                        <w:sz w:val="20"/>
                        <w:szCs w:val="20"/>
                      </w:rPr>
                      <m:t>1</m:t>
                    </m:r>
                  </m:num>
                  <m:den>
                    <m:r>
                      <m:rPr>
                        <m:sty m:val="bi"/>
                      </m:rPr>
                      <w:rPr>
                        <w:rFonts w:ascii="Cambria Math" w:hAnsi="Cambria Math"/>
                        <w:sz w:val="20"/>
                        <w:szCs w:val="20"/>
                      </w:rPr>
                      <m:t>2</m:t>
                    </m:r>
                  </m:den>
                </m:f>
              </m:e>
            </m:rad>
            <m:r>
              <m:rPr>
                <m:sty m:val="bi"/>
              </m:rPr>
              <w:rPr>
                <w:rFonts w:ascii="Cambria Math" w:hAnsi="Cambria Math"/>
                <w:sz w:val="20"/>
                <w:szCs w:val="20"/>
              </w:rPr>
              <m:t>, </m:t>
            </m:r>
            <m:rad>
              <m:radPr>
                <m:degHide m:val="1"/>
                <m:ctrlPr>
                  <w:rPr>
                    <w:rFonts w:ascii="Cambria Math" w:hAnsi="Cambria Math"/>
                    <w:b/>
                    <w:bCs/>
                    <w:i/>
                    <w:sz w:val="20"/>
                    <w:szCs w:val="20"/>
                  </w:rPr>
                </m:ctrlPr>
              </m:radPr>
              <m:deg/>
              <m:e>
                <m:f>
                  <m:fPr>
                    <m:ctrlPr>
                      <w:rPr>
                        <w:rFonts w:ascii="Cambria Math" w:hAnsi="Cambria Math"/>
                        <w:b/>
                        <w:bCs/>
                        <w:i/>
                        <w:sz w:val="20"/>
                        <w:szCs w:val="20"/>
                      </w:rPr>
                    </m:ctrlPr>
                  </m:fPr>
                  <m:num>
                    <m:r>
                      <m:rPr>
                        <m:sty m:val="bi"/>
                      </m:rPr>
                      <w:rPr>
                        <w:rFonts w:ascii="Cambria Math" w:hAnsi="Cambria Math"/>
                        <w:sz w:val="20"/>
                        <w:szCs w:val="20"/>
                      </w:rPr>
                      <m:t>1</m:t>
                    </m:r>
                  </m:num>
                  <m:den>
                    <m:r>
                      <m:rPr>
                        <m:sty m:val="bi"/>
                      </m:rPr>
                      <w:rPr>
                        <w:rFonts w:ascii="Cambria Math" w:hAnsi="Cambria Math"/>
                        <w:sz w:val="20"/>
                        <w:szCs w:val="20"/>
                      </w:rPr>
                      <m:t>3</m:t>
                    </m:r>
                  </m:den>
                </m:f>
              </m:e>
            </m:rad>
            <m:r>
              <m:rPr>
                <m:sty m:val="bi"/>
              </m:rPr>
              <w:rPr>
                <w:rFonts w:ascii="Cambria Math" w:hAnsi="Cambria Math"/>
                <w:sz w:val="20"/>
                <w:szCs w:val="20"/>
              </w:rPr>
              <m:t> ,</m:t>
            </m:r>
            <m:rad>
              <m:radPr>
                <m:degHide m:val="1"/>
                <m:ctrlPr>
                  <w:rPr>
                    <w:rFonts w:ascii="Cambria Math" w:hAnsi="Cambria Math"/>
                    <w:b/>
                    <w:bCs/>
                    <w:i/>
                    <w:sz w:val="20"/>
                    <w:szCs w:val="20"/>
                  </w:rPr>
                </m:ctrlPr>
              </m:radPr>
              <m:deg/>
              <m:e>
                <m:f>
                  <m:fPr>
                    <m:ctrlPr>
                      <w:rPr>
                        <w:rFonts w:ascii="Cambria Math" w:hAnsi="Cambria Math"/>
                        <w:b/>
                        <w:bCs/>
                        <w:i/>
                        <w:sz w:val="20"/>
                        <w:szCs w:val="20"/>
                      </w:rPr>
                    </m:ctrlPr>
                  </m:fPr>
                  <m:num>
                    <m:r>
                      <m:rPr>
                        <m:sty m:val="bi"/>
                      </m:rPr>
                      <w:rPr>
                        <w:rFonts w:ascii="Cambria Math" w:hAnsi="Cambria Math"/>
                        <w:sz w:val="20"/>
                        <w:szCs w:val="20"/>
                      </w:rPr>
                      <m:t>1</m:t>
                    </m:r>
                  </m:num>
                  <m:den>
                    <m:r>
                      <m:rPr>
                        <m:sty m:val="bi"/>
                      </m:rPr>
                      <w:rPr>
                        <w:rFonts w:ascii="Cambria Math" w:hAnsi="Cambria Math"/>
                        <w:sz w:val="20"/>
                        <w:szCs w:val="20"/>
                      </w:rPr>
                      <m:t>4</m:t>
                    </m:r>
                  </m:den>
                </m:f>
              </m:e>
            </m:rad>
            <m:r>
              <m:rPr>
                <m:sty m:val="bi"/>
              </m:rPr>
              <w:rPr>
                <w:rFonts w:ascii="Cambria Math" w:hAnsi="Cambria Math"/>
                <w:sz w:val="20"/>
                <w:szCs w:val="20"/>
              </w:rPr>
              <m:t>,</m:t>
            </m:r>
            <m:rad>
              <m:radPr>
                <m:degHide m:val="1"/>
                <m:ctrlPr>
                  <w:rPr>
                    <w:rFonts w:ascii="Cambria Math" w:hAnsi="Cambria Math"/>
                    <w:b/>
                    <w:bCs/>
                    <w:i/>
                    <w:sz w:val="20"/>
                    <w:szCs w:val="20"/>
                  </w:rPr>
                </m:ctrlPr>
              </m:radPr>
              <m:deg/>
              <m:e>
                <m:f>
                  <m:fPr>
                    <m:ctrlPr>
                      <w:rPr>
                        <w:rFonts w:ascii="Cambria Math" w:hAnsi="Cambria Math"/>
                        <w:b/>
                        <w:bCs/>
                        <w:i/>
                        <w:sz w:val="20"/>
                        <w:szCs w:val="20"/>
                      </w:rPr>
                    </m:ctrlPr>
                  </m:fPr>
                  <m:num>
                    <m:r>
                      <m:rPr>
                        <m:sty m:val="bi"/>
                      </m:rPr>
                      <w:rPr>
                        <w:rFonts w:ascii="Cambria Math" w:hAnsi="Cambria Math"/>
                        <w:sz w:val="20"/>
                        <w:szCs w:val="20"/>
                      </w:rPr>
                      <m:t>1</m:t>
                    </m:r>
                  </m:num>
                  <m:den>
                    <m:r>
                      <m:rPr>
                        <m:sty m:val="bi"/>
                      </m:rPr>
                      <w:rPr>
                        <w:rFonts w:ascii="Cambria Math" w:hAnsi="Cambria Math"/>
                        <w:sz w:val="20"/>
                        <w:szCs w:val="20"/>
                      </w:rPr>
                      <m:t>6</m:t>
                    </m:r>
                  </m:den>
                </m:f>
              </m:e>
            </m:rad>
            <m:r>
              <m:rPr>
                <m:sty m:val="bi"/>
              </m:rPr>
              <w:rPr>
                <w:rFonts w:ascii="Cambria Math" w:hAnsi="Cambria Math"/>
                <w:sz w:val="20"/>
                <w:szCs w:val="20"/>
              </w:rPr>
              <m:t>,</m:t>
            </m:r>
            <m:rad>
              <m:radPr>
                <m:degHide m:val="1"/>
                <m:ctrlPr>
                  <w:rPr>
                    <w:rFonts w:ascii="Cambria Math" w:hAnsi="Cambria Math"/>
                    <w:b/>
                    <w:bCs/>
                    <w:i/>
                    <w:sz w:val="20"/>
                    <w:szCs w:val="20"/>
                  </w:rPr>
                </m:ctrlPr>
              </m:radPr>
              <m:deg/>
              <m:e>
                <m:f>
                  <m:fPr>
                    <m:ctrlPr>
                      <w:rPr>
                        <w:rFonts w:ascii="Cambria Math" w:hAnsi="Cambria Math"/>
                        <w:b/>
                        <w:bCs/>
                        <w:i/>
                        <w:sz w:val="20"/>
                        <w:szCs w:val="20"/>
                      </w:rPr>
                    </m:ctrlPr>
                  </m:fPr>
                  <m:num>
                    <m:r>
                      <m:rPr>
                        <m:sty m:val="bi"/>
                      </m:rPr>
                      <w:rPr>
                        <w:rFonts w:ascii="Cambria Math" w:hAnsi="Cambria Math"/>
                        <w:sz w:val="20"/>
                        <w:szCs w:val="20"/>
                      </w:rPr>
                      <m:t>1</m:t>
                    </m:r>
                  </m:num>
                  <m:den>
                    <m:r>
                      <m:rPr>
                        <m:sty m:val="bi"/>
                      </m:rPr>
                      <w:rPr>
                        <w:rFonts w:ascii="Cambria Math" w:hAnsi="Cambria Math"/>
                        <w:sz w:val="20"/>
                        <w:szCs w:val="20"/>
                      </w:rPr>
                      <m:t>8</m:t>
                    </m:r>
                  </m:den>
                </m:f>
              </m:e>
            </m:rad>
            <m:r>
              <m:rPr>
                <m:sty m:val="bi"/>
              </m:rPr>
              <w:rPr>
                <w:rFonts w:ascii="Cambria Math" w:hAnsi="Cambria Math"/>
                <w:sz w:val="20"/>
                <w:szCs w:val="20"/>
              </w:rPr>
              <m:t>,</m:t>
            </m:r>
            <m:rad>
              <m:radPr>
                <m:degHide m:val="1"/>
                <m:ctrlPr>
                  <w:rPr>
                    <w:rFonts w:ascii="Cambria Math" w:hAnsi="Cambria Math"/>
                    <w:b/>
                    <w:bCs/>
                    <w:i/>
                    <w:sz w:val="20"/>
                    <w:szCs w:val="20"/>
                  </w:rPr>
                </m:ctrlPr>
              </m:radPr>
              <m:deg/>
              <m:e>
                <m:f>
                  <m:fPr>
                    <m:ctrlPr>
                      <w:rPr>
                        <w:rFonts w:ascii="Cambria Math" w:hAnsi="Cambria Math"/>
                        <w:b/>
                        <w:bCs/>
                        <w:i/>
                        <w:sz w:val="20"/>
                        <w:szCs w:val="20"/>
                      </w:rPr>
                    </m:ctrlPr>
                  </m:fPr>
                  <m:num>
                    <m:r>
                      <m:rPr>
                        <m:sty m:val="bi"/>
                      </m:rPr>
                      <w:rPr>
                        <w:rFonts w:ascii="Cambria Math" w:hAnsi="Cambria Math"/>
                        <w:sz w:val="20"/>
                        <w:szCs w:val="20"/>
                      </w:rPr>
                      <m:t>1</m:t>
                    </m:r>
                  </m:num>
                  <m:den>
                    <m:r>
                      <m:rPr>
                        <m:sty m:val="bi"/>
                      </m:rPr>
                      <w:rPr>
                        <w:rFonts w:ascii="Cambria Math" w:hAnsi="Cambria Math"/>
                        <w:sz w:val="20"/>
                        <w:szCs w:val="20"/>
                      </w:rPr>
                      <m:t>12</m:t>
                    </m:r>
                  </m:den>
                </m:f>
              </m:e>
            </m:rad>
            <m:r>
              <m:rPr>
                <m:sty m:val="bi"/>
              </m:rPr>
              <w:rPr>
                <w:rFonts w:ascii="Cambria Math" w:hAnsi="Cambria Math"/>
                <w:sz w:val="20"/>
                <w:szCs w:val="20"/>
              </w:rPr>
              <m:t>,</m:t>
            </m:r>
            <m:rad>
              <m:radPr>
                <m:degHide m:val="1"/>
                <m:ctrlPr>
                  <w:rPr>
                    <w:rFonts w:ascii="Cambria Math" w:hAnsi="Cambria Math"/>
                    <w:b/>
                    <w:bCs/>
                    <w:i/>
                    <w:sz w:val="20"/>
                    <w:szCs w:val="20"/>
                  </w:rPr>
                </m:ctrlPr>
              </m:radPr>
              <m:deg/>
              <m:e>
                <m:f>
                  <m:fPr>
                    <m:ctrlPr>
                      <w:rPr>
                        <w:rFonts w:ascii="Cambria Math" w:hAnsi="Cambria Math"/>
                        <w:b/>
                        <w:bCs/>
                        <w:i/>
                        <w:sz w:val="20"/>
                        <w:szCs w:val="20"/>
                      </w:rPr>
                    </m:ctrlPr>
                  </m:fPr>
                  <m:num>
                    <m:r>
                      <m:rPr>
                        <m:sty m:val="bi"/>
                      </m:rPr>
                      <w:rPr>
                        <w:rFonts w:ascii="Cambria Math" w:hAnsi="Cambria Math"/>
                        <w:sz w:val="20"/>
                        <w:szCs w:val="20"/>
                      </w:rPr>
                      <m:t>1</m:t>
                    </m:r>
                  </m:num>
                  <m:den>
                    <m:r>
                      <m:rPr>
                        <m:sty m:val="bi"/>
                      </m:rPr>
                      <w:rPr>
                        <w:rFonts w:ascii="Cambria Math" w:hAnsi="Cambria Math"/>
                        <w:sz w:val="20"/>
                        <w:szCs w:val="20"/>
                      </w:rPr>
                      <m:t>16</m:t>
                    </m:r>
                  </m:den>
                </m:f>
              </m:e>
            </m:rad>
          </m:e>
        </m:d>
        <m:r>
          <m:rPr>
            <m:sty m:val="bi"/>
          </m:rPr>
          <w:rPr>
            <w:rFonts w:ascii="Cambria Math" w:hAnsi="Cambria Math"/>
            <w:sz w:val="20"/>
            <w:szCs w:val="20"/>
          </w:rPr>
          <m:t xml:space="preserve"> </m:t>
        </m:r>
      </m:oMath>
      <w:r w:rsidRPr="00EE70F0">
        <w:rPr>
          <w:rFonts w:eastAsia="Malgun Gothic"/>
          <w:b/>
          <w:bCs/>
          <w:i/>
          <w:sz w:val="20"/>
          <w:szCs w:val="20"/>
        </w:rPr>
        <w:t xml:space="preserve"> is the scaling factor associated with the </w:t>
      </w:r>
      <m:oMath>
        <m:sSup>
          <m:sSupPr>
            <m:ctrlPr>
              <w:rPr>
                <w:rFonts w:ascii="Cambria Math" w:eastAsia="Malgun Gothic" w:hAnsi="Cambria Math"/>
                <w:b/>
                <w:bCs/>
                <w:i/>
                <w:sz w:val="20"/>
                <w:szCs w:val="20"/>
              </w:rPr>
            </m:ctrlPr>
          </m:sSupPr>
          <m:e>
            <m:r>
              <m:rPr>
                <m:sty m:val="bi"/>
              </m:rPr>
              <w:rPr>
                <w:rFonts w:ascii="Cambria Math" w:eastAsia="Malgun Gothic" w:hAnsi="Cambria Math"/>
                <w:sz w:val="20"/>
                <w:szCs w:val="20"/>
              </w:rPr>
              <m:t>i</m:t>
            </m:r>
          </m:e>
          <m:sup>
            <m:r>
              <m:rPr>
                <m:sty m:val="bi"/>
              </m:rPr>
              <w:rPr>
                <w:rFonts w:ascii="Cambria Math" w:eastAsia="Malgun Gothic" w:hAnsi="Cambria Math"/>
                <w:sz w:val="20"/>
                <w:szCs w:val="20"/>
              </w:rPr>
              <m:t>th</m:t>
            </m:r>
          </m:sup>
        </m:sSup>
      </m:oMath>
      <w:r w:rsidRPr="00EE70F0">
        <w:rPr>
          <w:rFonts w:eastAsia="Malgun Gothic"/>
          <w:b/>
          <w:bCs/>
          <w:i/>
          <w:sz w:val="20"/>
          <w:szCs w:val="20"/>
        </w:rPr>
        <w:t xml:space="preserve"> SD basis vector, and </w:t>
      </w:r>
      <m:oMath>
        <m:sSub>
          <m:sSubPr>
            <m:ctrlPr>
              <w:rPr>
                <w:rFonts w:ascii="Cambria Math" w:eastAsia="Malgun Gothic" w:hAnsi="Cambria Math"/>
                <w:b/>
                <w:bCs/>
                <w:i/>
                <w:sz w:val="20"/>
                <w:szCs w:val="20"/>
                <w:lang w:eastAsia="ja-JP"/>
              </w:rPr>
            </m:ctrlPr>
          </m:sSubPr>
          <m:e>
            <m:r>
              <m:rPr>
                <m:sty m:val="bi"/>
              </m:rPr>
              <w:rPr>
                <w:rFonts w:ascii="Cambria Math" w:eastAsia="Malgun Gothic" w:hAnsi="Cambria Math"/>
                <w:sz w:val="20"/>
                <w:szCs w:val="20"/>
                <w:lang w:eastAsia="ja-JP"/>
              </w:rPr>
              <m:t>r</m:t>
            </m:r>
          </m:e>
          <m:sub>
            <m:r>
              <m:rPr>
                <m:sty m:val="bi"/>
              </m:rPr>
              <w:rPr>
                <w:rFonts w:ascii="Cambria Math" w:eastAsia="Malgun Gothic" w:hAnsi="Cambria Math"/>
                <w:sz w:val="20"/>
                <w:szCs w:val="20"/>
                <w:lang w:eastAsia="ja-JP"/>
              </w:rPr>
              <m:t>i</m:t>
            </m:r>
          </m:sub>
        </m:sSub>
        <m:r>
          <m:rPr>
            <m:sty m:val="bi"/>
          </m:rPr>
          <w:rPr>
            <w:rFonts w:ascii="Cambria Math" w:eastAsia="Malgun Gothic" w:hAnsi="Cambria Math"/>
            <w:sz w:val="20"/>
            <w:szCs w:val="20"/>
            <w:lang w:eastAsia="ja-JP"/>
          </w:rPr>
          <m:t>∈</m:t>
        </m:r>
        <m:d>
          <m:dPr>
            <m:begChr m:val="{"/>
            <m:endChr m:val="}"/>
            <m:ctrlPr>
              <w:rPr>
                <w:rFonts w:ascii="Cambria Math" w:eastAsia="Malgun Gothic" w:hAnsi="Cambria Math"/>
                <w:b/>
                <w:bCs/>
                <w:i/>
                <w:sz w:val="20"/>
                <w:szCs w:val="20"/>
              </w:rPr>
            </m:ctrlPr>
          </m:dPr>
          <m:e>
            <m:r>
              <m:rPr>
                <m:sty m:val="bi"/>
              </m:rPr>
              <w:rPr>
                <w:rFonts w:ascii="Cambria Math" w:eastAsia="Malgun Gothic" w:hAnsi="Cambria Math"/>
                <w:sz w:val="20"/>
                <w:szCs w:val="20"/>
              </w:rPr>
              <m:t>1,2</m:t>
            </m:r>
          </m:e>
        </m:d>
      </m:oMath>
      <w:r w:rsidRPr="00EE70F0">
        <w:rPr>
          <w:rFonts w:eastAsia="Malgun Gothic"/>
          <w:b/>
          <w:bCs/>
          <w:i/>
          <w:sz w:val="20"/>
          <w:szCs w:val="20"/>
          <w:lang w:eastAsia="ja-JP"/>
        </w:rPr>
        <w:t xml:space="preserve"> is the number of layers transmitted using the </w:t>
      </w:r>
      <m:oMath>
        <m:sSup>
          <m:sSupPr>
            <m:ctrlPr>
              <w:rPr>
                <w:rFonts w:ascii="Cambria Math" w:eastAsia="Malgun Gothic" w:hAnsi="Cambria Math"/>
                <w:b/>
                <w:bCs/>
                <w:i/>
                <w:sz w:val="20"/>
                <w:szCs w:val="20"/>
                <w:lang w:eastAsia="ja-JP"/>
              </w:rPr>
            </m:ctrlPr>
          </m:sSupPr>
          <m:e>
            <m:r>
              <m:rPr>
                <m:sty m:val="bi"/>
              </m:rPr>
              <w:rPr>
                <w:rFonts w:ascii="Cambria Math" w:eastAsia="Malgun Gothic" w:hAnsi="Cambria Math"/>
                <w:sz w:val="20"/>
                <w:szCs w:val="20"/>
                <w:lang w:eastAsia="ja-JP"/>
              </w:rPr>
              <m:t>i</m:t>
            </m:r>
          </m:e>
          <m:sup>
            <m:r>
              <m:rPr>
                <m:sty m:val="bi"/>
              </m:rPr>
              <w:rPr>
                <w:rFonts w:ascii="Cambria Math" w:eastAsia="Malgun Gothic" w:hAnsi="Cambria Math"/>
                <w:sz w:val="20"/>
                <w:szCs w:val="20"/>
                <w:lang w:eastAsia="ja-JP"/>
              </w:rPr>
              <m:t>th</m:t>
            </m:r>
          </m:sup>
        </m:sSup>
      </m:oMath>
      <w:r w:rsidRPr="00EE70F0">
        <w:rPr>
          <w:rFonts w:eastAsia="Malgun Gothic"/>
          <w:b/>
          <w:bCs/>
          <w:i/>
          <w:sz w:val="20"/>
          <w:szCs w:val="20"/>
          <w:lang w:eastAsia="ja-JP"/>
        </w:rPr>
        <w:t xml:space="preserve"> SD basis vector.</w:t>
      </w:r>
    </w:p>
    <w:p w:rsidR="00117472" w:rsidRPr="00EE70F0" w:rsidRDefault="00117472" w:rsidP="00117472">
      <w:pPr>
        <w:widowControl w:val="0"/>
        <w:numPr>
          <w:ilvl w:val="0"/>
          <w:numId w:val="835"/>
        </w:numPr>
        <w:snapToGrid w:val="0"/>
        <w:rPr>
          <w:b/>
          <w:bCs/>
          <w:i/>
          <w:sz w:val="20"/>
          <w:szCs w:val="20"/>
        </w:rPr>
      </w:pPr>
      <w:r w:rsidRPr="00EE70F0">
        <w:rPr>
          <w:b/>
          <w:bCs/>
          <w:i/>
          <w:sz w:val="20"/>
          <w:szCs w:val="20"/>
        </w:rPr>
        <w:t>Note: This feature is a separate UE capability</w:t>
      </w:r>
    </w:p>
    <w:p w:rsidR="00117472" w:rsidRPr="00EE70F0" w:rsidRDefault="00117472" w:rsidP="00117472">
      <w:pPr>
        <w:widowControl w:val="0"/>
        <w:numPr>
          <w:ilvl w:val="1"/>
          <w:numId w:val="835"/>
        </w:numPr>
        <w:snapToGrid w:val="0"/>
        <w:rPr>
          <w:b/>
          <w:bCs/>
          <w:i/>
          <w:color w:val="FF0000"/>
          <w:sz w:val="20"/>
          <w:szCs w:val="20"/>
        </w:rPr>
      </w:pPr>
      <w:r w:rsidRPr="00EE70F0">
        <w:rPr>
          <w:b/>
          <w:bCs/>
          <w:i/>
          <w:color w:val="FF0000"/>
          <w:sz w:val="20"/>
          <w:szCs w:val="20"/>
        </w:rPr>
        <w:t>An RRC parameter is introduced to enable whether the power scaling for rank&gt;1 is enabled or not</w:t>
      </w:r>
    </w:p>
    <w:p w:rsidR="00117472" w:rsidRPr="00EE70F0" w:rsidRDefault="00117472" w:rsidP="00117472">
      <w:pPr>
        <w:widowControl w:val="0"/>
        <w:numPr>
          <w:ilvl w:val="0"/>
          <w:numId w:val="835"/>
        </w:numPr>
        <w:snapToGrid w:val="0"/>
        <w:rPr>
          <w:b/>
          <w:bCs/>
          <w:i/>
          <w:color w:val="FF0000"/>
          <w:sz w:val="20"/>
          <w:szCs w:val="20"/>
        </w:rPr>
      </w:pPr>
      <w:r w:rsidRPr="00EE70F0">
        <w:rPr>
          <w:b/>
          <w:bCs/>
          <w:i/>
          <w:color w:val="FF0000"/>
          <w:sz w:val="20"/>
          <w:szCs w:val="20"/>
        </w:rPr>
        <w:t xml:space="preserve">For </w:t>
      </w:r>
      <w:r w:rsidR="00EE70F0" w:rsidRPr="00EE70F0">
        <w:rPr>
          <w:b/>
          <w:bCs/>
          <w:i/>
          <w:color w:val="FF0000"/>
          <w:sz w:val="20"/>
          <w:szCs w:val="20"/>
        </w:rPr>
        <w:t xml:space="preserve">L </w:t>
      </w:r>
      <w:r w:rsidRPr="00EE70F0">
        <w:rPr>
          <w:b/>
          <w:bCs/>
          <w:i/>
          <w:color w:val="FF0000"/>
          <w:sz w:val="20"/>
          <w:szCs w:val="20"/>
        </w:rPr>
        <w:t xml:space="preserve">layers based on power scaling factor 1, support power boosting for </w:t>
      </w:r>
      <w:r w:rsidR="00EE70F0" w:rsidRPr="00EE70F0">
        <w:rPr>
          <w:b/>
          <w:bCs/>
          <w:i/>
          <w:color w:val="FF0000"/>
          <w:sz w:val="20"/>
          <w:szCs w:val="20"/>
        </w:rPr>
        <w:t>each of the L</w:t>
      </w:r>
      <w:r w:rsidRPr="00EE70F0">
        <w:rPr>
          <w:b/>
          <w:bCs/>
          <w:i/>
          <w:color w:val="FF0000"/>
          <w:sz w:val="20"/>
          <w:szCs w:val="20"/>
        </w:rPr>
        <w:t xml:space="preserve"> layers as </w:t>
      </w:r>
      <m:oMath>
        <m:f>
          <m:fPr>
            <m:ctrlPr>
              <w:rPr>
                <w:rFonts w:ascii="Cambria Math" w:hAnsi="Cambria Math"/>
                <w:b/>
                <w:bCs/>
                <w:i/>
                <w:color w:val="FF0000"/>
                <w:sz w:val="20"/>
                <w:szCs w:val="20"/>
              </w:rPr>
            </m:ctrlPr>
          </m:fPr>
          <m:num>
            <m:r>
              <m:rPr>
                <m:sty m:val="bi"/>
              </m:rPr>
              <w:rPr>
                <w:rFonts w:ascii="Cambria Math" w:hAnsi="Cambria Math"/>
                <w:color w:val="FF0000"/>
                <w:sz w:val="20"/>
                <w:szCs w:val="20"/>
              </w:rPr>
              <m:t>1-</m:t>
            </m:r>
            <m:sSub>
              <m:sSubPr>
                <m:ctrlPr>
                  <w:rPr>
                    <w:rFonts w:ascii="Cambria Math" w:hAnsi="Cambria Math"/>
                    <w:b/>
                    <w:bCs/>
                    <w:i/>
                    <w:color w:val="FF0000"/>
                    <w:sz w:val="20"/>
                    <w:szCs w:val="20"/>
                  </w:rPr>
                </m:ctrlPr>
              </m:sSubPr>
              <m:e>
                <m:r>
                  <m:rPr>
                    <m:sty m:val="bi"/>
                  </m:rPr>
                  <w:rPr>
                    <w:rFonts w:ascii="Cambria Math" w:hAnsi="Cambria Math"/>
                    <w:color w:val="FF0000"/>
                    <w:sz w:val="20"/>
                    <w:szCs w:val="20"/>
                  </w:rPr>
                  <m:t>P</m:t>
                </m:r>
              </m:e>
              <m:sub>
                <m:r>
                  <m:rPr>
                    <m:sty m:val="bi"/>
                  </m:rPr>
                  <w:rPr>
                    <w:rFonts w:ascii="Cambria Math" w:hAnsi="Cambria Math"/>
                    <w:color w:val="FF0000"/>
                    <w:sz w:val="20"/>
                    <w:szCs w:val="20"/>
                  </w:rPr>
                  <m:t>scale</m:t>
                </m:r>
              </m:sub>
            </m:sSub>
          </m:num>
          <m:den>
            <m:r>
              <m:rPr>
                <m:sty m:val="bi"/>
              </m:rPr>
              <w:rPr>
                <w:rFonts w:ascii="Cambria Math" w:hAnsi="Cambria Math"/>
                <w:color w:val="FF0000"/>
                <w:sz w:val="20"/>
                <w:szCs w:val="20"/>
              </w:rPr>
              <m:t>L</m:t>
            </m:r>
          </m:den>
        </m:f>
      </m:oMath>
      <w:r w:rsidR="00EE70F0" w:rsidRPr="00EE70F0">
        <w:rPr>
          <w:b/>
          <w:bCs/>
          <w:i/>
          <w:color w:val="FF0000"/>
          <w:sz w:val="20"/>
          <w:szCs w:val="20"/>
        </w:rPr>
        <w:t xml:space="preserve">, where </w:t>
      </w:r>
      <m:oMath>
        <m:sSub>
          <m:sSubPr>
            <m:ctrlPr>
              <w:rPr>
                <w:rFonts w:ascii="Cambria Math" w:hAnsi="Cambria Math"/>
                <w:b/>
                <w:bCs/>
                <w:i/>
                <w:color w:val="FF0000"/>
                <w:sz w:val="20"/>
                <w:szCs w:val="20"/>
              </w:rPr>
            </m:ctrlPr>
          </m:sSubPr>
          <m:e>
            <m:r>
              <m:rPr>
                <m:sty m:val="bi"/>
              </m:rPr>
              <w:rPr>
                <w:rFonts w:ascii="Cambria Math" w:hAnsi="Cambria Math"/>
                <w:color w:val="FF0000"/>
                <w:sz w:val="20"/>
                <w:szCs w:val="20"/>
              </w:rPr>
              <m:t>P</m:t>
            </m:r>
          </m:e>
          <m:sub>
            <m:r>
              <m:rPr>
                <m:sty m:val="bi"/>
              </m:rPr>
              <w:rPr>
                <w:rFonts w:ascii="Cambria Math" w:hAnsi="Cambria Math"/>
                <w:color w:val="FF0000"/>
                <w:sz w:val="20"/>
                <w:szCs w:val="20"/>
              </w:rPr>
              <m:t>scale</m:t>
            </m:r>
          </m:sub>
        </m:sSub>
      </m:oMath>
      <w:r w:rsidR="00EE70F0" w:rsidRPr="00EE70F0">
        <w:rPr>
          <w:b/>
          <w:bCs/>
          <w:i/>
          <w:color w:val="FF0000"/>
          <w:sz w:val="20"/>
          <w:szCs w:val="20"/>
        </w:rPr>
        <w:t xml:space="preserve"> is the total scaled power for the layers based on power scaling factor smaller than 1</w:t>
      </w:r>
    </w:p>
    <w:p w:rsidR="00117472" w:rsidRDefault="00117472" w:rsidP="007B78A6">
      <w:pPr>
        <w:pStyle w:val="0Maintext"/>
        <w:spacing w:after="120" w:afterAutospacing="0" w:line="240" w:lineRule="auto"/>
        <w:ind w:firstLine="0"/>
        <w:rPr>
          <w:lang w:val="en-US" w:eastAsia="zh-CN"/>
        </w:rPr>
      </w:pPr>
    </w:p>
    <w:p w:rsidR="00EE70F0" w:rsidRDefault="00EE70F0" w:rsidP="007B78A6">
      <w:pPr>
        <w:pStyle w:val="0Maintext"/>
        <w:spacing w:after="120" w:afterAutospacing="0" w:line="240" w:lineRule="auto"/>
        <w:ind w:firstLine="0"/>
        <w:rPr>
          <w:lang w:val="en-US" w:eastAsia="zh-CN"/>
        </w:rPr>
      </w:pPr>
    </w:p>
    <w:p w:rsidR="00EE70F0" w:rsidRDefault="00EE70F0" w:rsidP="00EE70F0">
      <w:pPr>
        <w:pStyle w:val="Heading2"/>
      </w:pPr>
      <w:r>
        <w:t>Power scaling configuration for NES</w:t>
      </w:r>
    </w:p>
    <w:p w:rsidR="00EE70F0" w:rsidRDefault="00EE70F0" w:rsidP="007B78A6">
      <w:pPr>
        <w:pStyle w:val="0Maintext"/>
        <w:spacing w:after="120" w:afterAutospacing="0" w:line="240" w:lineRule="auto"/>
        <w:ind w:firstLine="0"/>
        <w:rPr>
          <w:lang w:val="en-US" w:eastAsia="zh-CN"/>
        </w:rPr>
      </w:pPr>
      <w:r>
        <w:rPr>
          <w:lang w:val="en-US" w:eastAsia="zh-CN"/>
        </w:rPr>
        <w:t>In RAN1 #118 meeting, supporting up to 128 ports CSI for Type1 SD-NES has been agreed as follows.</w:t>
      </w:r>
    </w:p>
    <w:tbl>
      <w:tblPr>
        <w:tblStyle w:val="TableGrid"/>
        <w:tblW w:w="0" w:type="auto"/>
        <w:tblLook w:val="04A0" w:firstRow="1" w:lastRow="0" w:firstColumn="1" w:lastColumn="0" w:noHBand="0" w:noVBand="1"/>
      </w:tblPr>
      <w:tblGrid>
        <w:gridCol w:w="9010"/>
      </w:tblGrid>
      <w:tr w:rsidR="00EE70F0" w:rsidTr="00EE70F0">
        <w:tc>
          <w:tcPr>
            <w:tcW w:w="9010" w:type="dxa"/>
          </w:tcPr>
          <w:p w:rsidR="00EE70F0" w:rsidRPr="002B690E" w:rsidRDefault="00EE70F0" w:rsidP="00EE70F0">
            <w:pPr>
              <w:rPr>
                <w:b/>
                <w:bCs/>
                <w:sz w:val="20"/>
                <w:szCs w:val="20"/>
                <w:highlight w:val="green"/>
                <w:lang w:eastAsia="x-none"/>
              </w:rPr>
            </w:pPr>
            <w:r w:rsidRPr="002B690E">
              <w:rPr>
                <w:b/>
                <w:bCs/>
                <w:sz w:val="20"/>
                <w:szCs w:val="20"/>
                <w:highlight w:val="green"/>
                <w:lang w:eastAsia="x-none"/>
              </w:rPr>
              <w:t>Agreement</w:t>
            </w:r>
          </w:p>
          <w:p w:rsidR="00EE70F0" w:rsidRPr="002B690E" w:rsidRDefault="00EE70F0" w:rsidP="00EE70F0">
            <w:pPr>
              <w:jc w:val="both"/>
              <w:rPr>
                <w:rFonts w:eastAsia="DengXian"/>
                <w:iCs/>
                <w:sz w:val="20"/>
                <w:szCs w:val="20"/>
              </w:rPr>
            </w:pPr>
            <w:r w:rsidRPr="002B690E">
              <w:rPr>
                <w:rFonts w:eastAsia="Malgun Gothic"/>
                <w:sz w:val="20"/>
                <w:szCs w:val="20"/>
                <w:lang w:eastAsia="zh-TW"/>
              </w:rPr>
              <w:t xml:space="preserve">For the Rel-19 Type-I SP codebook refinement for 48, 64, and 128 CSI-RS ports, regarding the </w:t>
            </w:r>
            <w:r w:rsidRPr="002B690E">
              <w:rPr>
                <w:rFonts w:eastAsia="DengXian"/>
                <w:iCs/>
                <w:sz w:val="20"/>
                <w:szCs w:val="20"/>
              </w:rPr>
              <w:t xml:space="preserve">port subset indication (from the Rel-18 SD NES Type-1), extend the bitmap (i.e., </w:t>
            </w:r>
            <w:r w:rsidRPr="002B690E">
              <w:rPr>
                <w:rFonts w:eastAsia="SimSun"/>
                <w:i/>
                <w:iCs/>
                <w:sz w:val="20"/>
                <w:szCs w:val="20"/>
              </w:rPr>
              <w:t>port-subsetIndicator</w:t>
            </w:r>
            <w:r w:rsidRPr="002B690E">
              <w:rPr>
                <w:rFonts w:eastAsia="DengXian"/>
                <w:iCs/>
                <w:sz w:val="20"/>
                <w:szCs w:val="20"/>
              </w:rPr>
              <w:t>) by adding p48, p64, and p128 along with their appropriate lengths</w:t>
            </w:r>
          </w:p>
          <w:p w:rsidR="00EE70F0" w:rsidRPr="002B690E" w:rsidRDefault="00EE70F0" w:rsidP="00EE70F0">
            <w:pPr>
              <w:pStyle w:val="ListParagraph"/>
              <w:numPr>
                <w:ilvl w:val="0"/>
                <w:numId w:val="722"/>
              </w:numPr>
              <w:snapToGrid w:val="0"/>
              <w:ind w:leftChars="0" w:left="400" w:hanging="400"/>
              <w:jc w:val="both"/>
              <w:rPr>
                <w:rFonts w:ascii="Times New Roman" w:eastAsia="Malgun Gothic" w:hAnsi="Times New Roman"/>
                <w:szCs w:val="20"/>
                <w:lang w:eastAsia="zh-TW"/>
              </w:rPr>
            </w:pPr>
            <w:r w:rsidRPr="002B690E">
              <w:rPr>
                <w:rFonts w:ascii="Times New Roman" w:eastAsia="Malgun Gothic" w:hAnsi="Times New Roman"/>
                <w:szCs w:val="20"/>
                <w:lang w:eastAsia="zh-TW"/>
              </w:rPr>
              <w:t>Note: Per previous agreements, K is the number of aggregated NZP CSI-RS resources to attain 32 &lt; P (or P</w:t>
            </w:r>
            <w:r w:rsidRPr="002B690E">
              <w:rPr>
                <w:rFonts w:ascii="Times New Roman" w:eastAsia="Malgun Gothic" w:hAnsi="Times New Roman"/>
                <w:szCs w:val="20"/>
                <w:vertAlign w:val="subscript"/>
                <w:lang w:eastAsia="zh-TW"/>
              </w:rPr>
              <w:t>CSI-RS</w:t>
            </w:r>
            <w:r w:rsidRPr="002B690E">
              <w:rPr>
                <w:rFonts w:ascii="Times New Roman" w:eastAsia="Malgun Gothic" w:hAnsi="Times New Roman"/>
                <w:szCs w:val="20"/>
                <w:lang w:eastAsia="zh-TW"/>
              </w:rPr>
              <w:t>) ≤ 128</w:t>
            </w:r>
          </w:p>
          <w:p w:rsidR="00EE70F0" w:rsidRDefault="00EE70F0" w:rsidP="007B78A6">
            <w:pPr>
              <w:pStyle w:val="0Maintext"/>
              <w:spacing w:after="120" w:afterAutospacing="0" w:line="240" w:lineRule="auto"/>
              <w:ind w:firstLine="0"/>
              <w:rPr>
                <w:lang w:val="en-US" w:eastAsia="zh-CN"/>
              </w:rPr>
            </w:pPr>
          </w:p>
        </w:tc>
      </w:tr>
    </w:tbl>
    <w:p w:rsidR="00EE70F0" w:rsidRDefault="00EE70F0" w:rsidP="007B78A6">
      <w:pPr>
        <w:pStyle w:val="0Maintext"/>
        <w:spacing w:after="120" w:afterAutospacing="0" w:line="240" w:lineRule="auto"/>
        <w:ind w:firstLine="0"/>
        <w:rPr>
          <w:lang w:val="en-US" w:eastAsia="zh-CN"/>
        </w:rPr>
      </w:pPr>
    </w:p>
    <w:p w:rsidR="00EE70F0" w:rsidRDefault="00EE70F0" w:rsidP="007B78A6">
      <w:pPr>
        <w:pStyle w:val="0Maintext"/>
        <w:spacing w:after="120" w:afterAutospacing="0" w:line="240" w:lineRule="auto"/>
        <w:ind w:firstLine="0"/>
        <w:rPr>
          <w:lang w:val="en-US" w:eastAsia="zh-CN"/>
        </w:rPr>
      </w:pPr>
      <w:r>
        <w:rPr>
          <w:lang w:val="en-US" w:eastAsia="zh-CN"/>
        </w:rPr>
        <w:t xml:space="preserve">Then, since the 3-bit power scaling is supported for up to 128 ports CSI, for Type1 SD-NES, such power scaling factors should be configured per CSI report sub-configuration to be aligned with different port subset indicator for different CSI sub-report, which is similar to current CBSR configuration.  </w:t>
      </w:r>
    </w:p>
    <w:p w:rsidR="00EE70F0" w:rsidRPr="006C0DF8" w:rsidRDefault="00EE70F0" w:rsidP="007B78A6">
      <w:pPr>
        <w:pStyle w:val="0Maintext"/>
        <w:spacing w:after="120" w:afterAutospacing="0" w:line="240" w:lineRule="auto"/>
        <w:ind w:firstLine="0"/>
        <w:rPr>
          <w:b/>
          <w:bCs/>
          <w:i/>
          <w:iCs/>
          <w:lang w:val="en-US" w:eastAsia="zh-CN"/>
        </w:rPr>
      </w:pPr>
      <w:r w:rsidRPr="006C0DF8">
        <w:rPr>
          <w:b/>
          <w:bCs/>
          <w:i/>
          <w:iCs/>
          <w:lang w:val="en-US" w:eastAsia="zh-CN"/>
        </w:rPr>
        <w:t xml:space="preserve">Proposal 3: For </w:t>
      </w:r>
      <w:r w:rsidR="006C0DF8" w:rsidRPr="006C0DF8">
        <w:rPr>
          <w:b/>
          <w:bCs/>
          <w:i/>
          <w:iCs/>
          <w:lang w:val="en-US" w:eastAsia="zh-CN"/>
        </w:rPr>
        <w:t xml:space="preserve">Type1 SD-NES based on </w:t>
      </w:r>
      <w:r w:rsidR="006C0DF8" w:rsidRPr="006C0DF8">
        <w:rPr>
          <w:rFonts w:hint="eastAsia"/>
          <w:b/>
          <w:bCs/>
          <w:i/>
          <w:iCs/>
          <w:lang w:val="en-US" w:eastAsia="zh-CN"/>
        </w:rPr>
        <w:t>u</w:t>
      </w:r>
      <w:r w:rsidR="006C0DF8" w:rsidRPr="006C0DF8">
        <w:rPr>
          <w:b/>
          <w:bCs/>
          <w:i/>
          <w:iCs/>
          <w:lang w:val="en-US" w:eastAsia="zh-CN"/>
        </w:rPr>
        <w:t xml:space="preserve">p to 128 ports CSI, support to configure the 3-bit power scaling factor per CSI report sub-configuration. </w:t>
      </w:r>
    </w:p>
    <w:p w:rsidR="004101C9" w:rsidRDefault="004101C9" w:rsidP="00475974">
      <w:pPr>
        <w:pStyle w:val="0Maintext"/>
        <w:spacing w:after="120" w:afterAutospacing="0" w:line="240" w:lineRule="auto"/>
        <w:ind w:firstLine="0"/>
        <w:rPr>
          <w:lang w:val="en-US" w:eastAsia="zh-CN"/>
        </w:rPr>
      </w:pPr>
    </w:p>
    <w:p w:rsidR="005E2CF1" w:rsidRDefault="005E2CF1" w:rsidP="005E2CF1">
      <w:pPr>
        <w:pStyle w:val="Heading1"/>
      </w:pPr>
      <w:r>
        <w:t>Inter-TRP time/frequency offset report for CJT</w:t>
      </w:r>
    </w:p>
    <w:p w:rsidR="005E2CF1" w:rsidRDefault="005E2CF1" w:rsidP="005E2CF1">
      <w:pPr>
        <w:pStyle w:val="Heading2"/>
      </w:pPr>
      <w:r>
        <w:t>CMR configuration</w:t>
      </w:r>
    </w:p>
    <w:p w:rsidR="00AC628B" w:rsidRDefault="00AC628B" w:rsidP="00475974">
      <w:pPr>
        <w:pStyle w:val="0Maintext"/>
        <w:spacing w:after="120" w:afterAutospacing="0" w:line="240" w:lineRule="auto"/>
        <w:ind w:firstLine="0"/>
        <w:rPr>
          <w:lang w:val="en-US" w:eastAsia="zh-CN"/>
        </w:rPr>
      </w:pPr>
      <w:r>
        <w:rPr>
          <w:lang w:val="en-US" w:eastAsia="zh-CN"/>
        </w:rPr>
        <w:t>In RAN1 #116b, the following on CMR configuration has been agreed.</w:t>
      </w:r>
    </w:p>
    <w:tbl>
      <w:tblPr>
        <w:tblStyle w:val="TableGrid"/>
        <w:tblW w:w="0" w:type="auto"/>
        <w:tblLook w:val="04A0" w:firstRow="1" w:lastRow="0" w:firstColumn="1" w:lastColumn="0" w:noHBand="0" w:noVBand="1"/>
      </w:tblPr>
      <w:tblGrid>
        <w:gridCol w:w="9010"/>
      </w:tblGrid>
      <w:tr w:rsidR="00AC628B" w:rsidTr="00AC628B">
        <w:tc>
          <w:tcPr>
            <w:tcW w:w="9010" w:type="dxa"/>
          </w:tcPr>
          <w:p w:rsidR="00AC628B" w:rsidRPr="004806EE" w:rsidRDefault="00AC628B" w:rsidP="00AC628B">
            <w:pPr>
              <w:adjustRightInd w:val="0"/>
              <w:snapToGrid w:val="0"/>
              <w:rPr>
                <w:b/>
                <w:bCs/>
                <w:sz w:val="20"/>
                <w:szCs w:val="20"/>
                <w:highlight w:val="green"/>
              </w:rPr>
            </w:pPr>
            <w:r w:rsidRPr="004806EE">
              <w:rPr>
                <w:b/>
                <w:bCs/>
                <w:sz w:val="20"/>
                <w:szCs w:val="20"/>
                <w:highlight w:val="green"/>
              </w:rPr>
              <w:t>Agreement</w:t>
            </w:r>
          </w:p>
          <w:p w:rsidR="00AC628B" w:rsidRPr="004806EE" w:rsidRDefault="00AC628B" w:rsidP="00AC628B">
            <w:pPr>
              <w:widowControl w:val="0"/>
              <w:snapToGrid w:val="0"/>
              <w:rPr>
                <w:iCs/>
                <w:sz w:val="20"/>
                <w:szCs w:val="20"/>
              </w:rPr>
            </w:pPr>
            <w:r w:rsidRPr="004806EE">
              <w:rPr>
                <w:rFonts w:eastAsia="Calibri"/>
                <w:sz w:val="20"/>
                <w:szCs w:val="20"/>
              </w:rPr>
              <w:t xml:space="preserve">For the Rel-19 aperiodic standalone CJT calibration reporting, regarding the </w:t>
            </w:r>
            <w:r w:rsidRPr="004806EE">
              <w:rPr>
                <w:iCs/>
                <w:sz w:val="20"/>
                <w:szCs w:val="20"/>
              </w:rPr>
              <w:t>applicable type(s) of the configured N</w:t>
            </w:r>
            <w:r w:rsidRPr="004806EE">
              <w:rPr>
                <w:iCs/>
                <w:sz w:val="20"/>
                <w:szCs w:val="20"/>
                <w:vertAlign w:val="subscript"/>
              </w:rPr>
              <w:t>TRP</w:t>
            </w:r>
            <w:r w:rsidRPr="004806EE">
              <w:rPr>
                <w:iCs/>
                <w:sz w:val="20"/>
                <w:szCs w:val="20"/>
              </w:rPr>
              <w:t xml:space="preserve"> NZP CSI-RS resources/resource sets </w:t>
            </w:r>
            <w:r w:rsidRPr="004806EE">
              <w:rPr>
                <w:sz w:val="20"/>
                <w:szCs w:val="20"/>
              </w:rPr>
              <w:t>when ReportQuantity is ‘cjtc-Dd’ (Doffset+d) or ‘cjtc-F’ (frequency offset)</w:t>
            </w:r>
            <w:r w:rsidRPr="004806EE">
              <w:rPr>
                <w:iCs/>
                <w:sz w:val="20"/>
                <w:szCs w:val="20"/>
              </w:rPr>
              <w:t>, periodic TRS (‘CSI-RS for tracking’) resource set is used for each of the N</w:t>
            </w:r>
            <w:r w:rsidRPr="004806EE">
              <w:rPr>
                <w:iCs/>
                <w:sz w:val="20"/>
                <w:szCs w:val="20"/>
                <w:vertAlign w:val="subscript"/>
              </w:rPr>
              <w:t>TRP</w:t>
            </w:r>
            <w:r w:rsidRPr="004806EE">
              <w:rPr>
                <w:iCs/>
                <w:sz w:val="20"/>
                <w:szCs w:val="20"/>
              </w:rPr>
              <w:t xml:space="preserve"> NZP CSI-RS resource sets</w:t>
            </w:r>
          </w:p>
          <w:p w:rsidR="00AC628B" w:rsidRPr="004806EE" w:rsidRDefault="00AC628B" w:rsidP="00AC628B">
            <w:pPr>
              <w:pStyle w:val="ListParagraph"/>
              <w:widowControl w:val="0"/>
              <w:numPr>
                <w:ilvl w:val="0"/>
                <w:numId w:val="717"/>
              </w:numPr>
              <w:snapToGrid w:val="0"/>
              <w:ind w:leftChars="0"/>
              <w:contextualSpacing/>
              <w:rPr>
                <w:iCs/>
                <w:szCs w:val="20"/>
              </w:rPr>
            </w:pPr>
            <w:r w:rsidRPr="004806EE">
              <w:rPr>
                <w:iCs/>
                <w:szCs w:val="20"/>
              </w:rPr>
              <w:t>Extend the maximum allowed number of TRS resource sets to 4 (note: legacy supports max. 3 from Rel-18 TDCP)</w:t>
            </w:r>
          </w:p>
          <w:p w:rsidR="00AC628B" w:rsidRPr="004806EE" w:rsidRDefault="00AC628B" w:rsidP="00AC628B">
            <w:pPr>
              <w:pStyle w:val="ListParagraph"/>
              <w:widowControl w:val="0"/>
              <w:numPr>
                <w:ilvl w:val="0"/>
                <w:numId w:val="717"/>
              </w:numPr>
              <w:snapToGrid w:val="0"/>
              <w:ind w:leftChars="0"/>
              <w:contextualSpacing/>
              <w:rPr>
                <w:iCs/>
                <w:szCs w:val="20"/>
              </w:rPr>
            </w:pPr>
            <w:r w:rsidRPr="004806EE">
              <w:rPr>
                <w:rFonts w:eastAsia="Times New Roman"/>
                <w:szCs w:val="20"/>
              </w:rPr>
              <w:t>FFS: Whether all the resources across the N</w:t>
            </w:r>
            <w:r w:rsidRPr="004806EE">
              <w:rPr>
                <w:rFonts w:eastAsia="Times New Roman"/>
                <w:szCs w:val="20"/>
                <w:vertAlign w:val="subscript"/>
              </w:rPr>
              <w:t>TRP</w:t>
            </w:r>
            <w:r w:rsidRPr="004806EE">
              <w:rPr>
                <w:rFonts w:eastAsia="Times New Roman"/>
                <w:szCs w:val="20"/>
              </w:rPr>
              <w:t> TRS resource sets are configured with the same bandwidth</w:t>
            </w:r>
          </w:p>
          <w:p w:rsidR="00AC628B" w:rsidRPr="004806EE" w:rsidRDefault="00AC628B" w:rsidP="00AC628B">
            <w:pPr>
              <w:pStyle w:val="ListParagraph"/>
              <w:widowControl w:val="0"/>
              <w:numPr>
                <w:ilvl w:val="0"/>
                <w:numId w:val="717"/>
              </w:numPr>
              <w:snapToGrid w:val="0"/>
              <w:ind w:leftChars="0"/>
              <w:contextualSpacing/>
              <w:rPr>
                <w:iCs/>
                <w:szCs w:val="20"/>
              </w:rPr>
            </w:pPr>
            <w:r w:rsidRPr="004806EE">
              <w:rPr>
                <w:iCs/>
                <w:szCs w:val="20"/>
              </w:rPr>
              <w:t>FFS: Whether aperiodic TRS resource set can also be used</w:t>
            </w:r>
          </w:p>
          <w:p w:rsidR="00AC628B" w:rsidRPr="004806EE" w:rsidRDefault="00AC628B" w:rsidP="00AC628B">
            <w:pPr>
              <w:pStyle w:val="ListParagraph"/>
              <w:widowControl w:val="0"/>
              <w:numPr>
                <w:ilvl w:val="0"/>
                <w:numId w:val="717"/>
              </w:numPr>
              <w:snapToGrid w:val="0"/>
              <w:ind w:leftChars="0"/>
              <w:contextualSpacing/>
              <w:rPr>
                <w:iCs/>
                <w:szCs w:val="20"/>
              </w:rPr>
            </w:pPr>
            <w:r w:rsidRPr="004806EE">
              <w:rPr>
                <w:iCs/>
                <w:szCs w:val="20"/>
              </w:rPr>
              <w:t>FFS: Whether CSI-RS for CSI can also be used</w:t>
            </w:r>
          </w:p>
          <w:p w:rsidR="00AC628B" w:rsidRPr="004806EE" w:rsidRDefault="00AC628B" w:rsidP="00AC628B">
            <w:pPr>
              <w:pStyle w:val="ListParagraph"/>
              <w:numPr>
                <w:ilvl w:val="0"/>
                <w:numId w:val="717"/>
              </w:numPr>
              <w:snapToGrid w:val="0"/>
              <w:ind w:leftChars="0"/>
              <w:contextualSpacing/>
              <w:rPr>
                <w:szCs w:val="20"/>
              </w:rPr>
            </w:pPr>
            <w:r w:rsidRPr="004806EE">
              <w:rPr>
                <w:szCs w:val="20"/>
              </w:rPr>
              <w:t>FFS: Whether different RE locations (FDM) are supported for the RSs</w:t>
            </w:r>
          </w:p>
          <w:p w:rsidR="00AC628B" w:rsidRPr="004806EE" w:rsidRDefault="00AC628B" w:rsidP="00AC628B">
            <w:pPr>
              <w:pStyle w:val="ListParagraph"/>
              <w:numPr>
                <w:ilvl w:val="0"/>
                <w:numId w:val="717"/>
              </w:numPr>
              <w:snapToGrid w:val="0"/>
              <w:ind w:leftChars="0"/>
              <w:rPr>
                <w:rFonts w:eastAsia="Times New Roman"/>
                <w:szCs w:val="20"/>
              </w:rPr>
            </w:pPr>
            <w:r w:rsidRPr="004806EE">
              <w:rPr>
                <w:szCs w:val="20"/>
              </w:rPr>
              <w:t xml:space="preserve">FFS: additional time separation between RSs </w:t>
            </w:r>
          </w:p>
          <w:p w:rsidR="00AC628B" w:rsidRPr="004806EE" w:rsidRDefault="00AC628B" w:rsidP="00AC628B">
            <w:pPr>
              <w:pStyle w:val="ListParagraph"/>
              <w:widowControl w:val="0"/>
              <w:numPr>
                <w:ilvl w:val="0"/>
                <w:numId w:val="717"/>
              </w:numPr>
              <w:snapToGrid w:val="0"/>
              <w:ind w:leftChars="0"/>
              <w:contextualSpacing/>
              <w:rPr>
                <w:iCs/>
                <w:szCs w:val="20"/>
              </w:rPr>
            </w:pPr>
            <w:r w:rsidRPr="004806EE">
              <w:rPr>
                <w:iCs/>
                <w:szCs w:val="20"/>
              </w:rPr>
              <w:t>FFS: The exact number of CSI-RS resource(s) within each TRS resource set</w:t>
            </w:r>
          </w:p>
          <w:p w:rsidR="00AC628B" w:rsidRPr="004806EE" w:rsidRDefault="00AC628B" w:rsidP="00AC628B">
            <w:pPr>
              <w:pStyle w:val="ListParagraph"/>
              <w:widowControl w:val="0"/>
              <w:numPr>
                <w:ilvl w:val="0"/>
                <w:numId w:val="717"/>
              </w:numPr>
              <w:snapToGrid w:val="0"/>
              <w:ind w:leftChars="0"/>
              <w:contextualSpacing/>
              <w:rPr>
                <w:iCs/>
                <w:szCs w:val="20"/>
              </w:rPr>
            </w:pPr>
            <w:r w:rsidRPr="004806EE">
              <w:rPr>
                <w:iCs/>
                <w:szCs w:val="20"/>
              </w:rPr>
              <w:lastRenderedPageBreak/>
              <w:t>FFS: applicable type(s) if joint reporting of both Doffset/d and FO is supported</w:t>
            </w:r>
          </w:p>
          <w:p w:rsidR="00AC628B" w:rsidRPr="004806EE" w:rsidRDefault="00AC628B" w:rsidP="00AC628B">
            <w:pPr>
              <w:widowControl w:val="0"/>
              <w:snapToGrid w:val="0"/>
              <w:rPr>
                <w:b/>
                <w:bCs/>
                <w:sz w:val="20"/>
                <w:szCs w:val="20"/>
                <w:u w:val="single"/>
              </w:rPr>
            </w:pPr>
          </w:p>
          <w:p w:rsidR="00AC628B" w:rsidRPr="004806EE" w:rsidRDefault="00AC628B" w:rsidP="00AC628B">
            <w:pPr>
              <w:adjustRightInd w:val="0"/>
              <w:snapToGrid w:val="0"/>
              <w:rPr>
                <w:b/>
                <w:bCs/>
                <w:sz w:val="20"/>
                <w:szCs w:val="20"/>
                <w:highlight w:val="green"/>
              </w:rPr>
            </w:pPr>
            <w:r w:rsidRPr="004806EE">
              <w:rPr>
                <w:b/>
                <w:bCs/>
                <w:sz w:val="20"/>
                <w:szCs w:val="20"/>
                <w:highlight w:val="green"/>
              </w:rPr>
              <w:t>Agreement</w:t>
            </w:r>
          </w:p>
          <w:p w:rsidR="00AC628B" w:rsidRPr="004806EE" w:rsidRDefault="00AC628B" w:rsidP="00AC628B">
            <w:pPr>
              <w:snapToGrid w:val="0"/>
              <w:rPr>
                <w:sz w:val="20"/>
                <w:szCs w:val="20"/>
              </w:rPr>
            </w:pPr>
            <w:r w:rsidRPr="004806EE">
              <w:rPr>
                <w:rFonts w:cs="Times"/>
                <w:sz w:val="20"/>
                <w:szCs w:val="20"/>
              </w:rPr>
              <w:t xml:space="preserve">For the Rel-19 aperiodic standalone CJT calibration reporting, regarding the </w:t>
            </w:r>
            <w:r w:rsidRPr="004806EE">
              <w:rPr>
                <w:sz w:val="20"/>
                <w:szCs w:val="20"/>
              </w:rPr>
              <w:t>applicable type(s) of the configured N</w:t>
            </w:r>
            <w:r w:rsidRPr="004806EE">
              <w:rPr>
                <w:sz w:val="20"/>
                <w:szCs w:val="20"/>
                <w:vertAlign w:val="subscript"/>
              </w:rPr>
              <w:t>TRP</w:t>
            </w:r>
            <w:r w:rsidRPr="004806EE">
              <w:rPr>
                <w:sz w:val="20"/>
                <w:szCs w:val="20"/>
              </w:rPr>
              <w:t xml:space="preserve"> NZP CSI-RS resources/resource sets when ReportQuantity is ‘cjtc-P’ (DL/UL phase offset), single-port CSI-RS(s) for CSI is used </w:t>
            </w:r>
          </w:p>
          <w:p w:rsidR="00AC628B" w:rsidRPr="004806EE" w:rsidRDefault="00AC628B" w:rsidP="00AC628B">
            <w:pPr>
              <w:numPr>
                <w:ilvl w:val="0"/>
                <w:numId w:val="717"/>
              </w:numPr>
              <w:snapToGrid w:val="0"/>
              <w:rPr>
                <w:rFonts w:eastAsia="SimSun"/>
                <w:sz w:val="20"/>
                <w:szCs w:val="20"/>
              </w:rPr>
            </w:pPr>
            <w:r w:rsidRPr="004806EE">
              <w:rPr>
                <w:rFonts w:eastAsia="SimSun"/>
                <w:sz w:val="20"/>
                <w:szCs w:val="20"/>
              </w:rPr>
              <w:t xml:space="preserve">FFS: Whether multi-port CSI-RS for CSI can also be used </w:t>
            </w:r>
          </w:p>
          <w:p w:rsidR="00AC628B" w:rsidRPr="004806EE" w:rsidRDefault="00AC628B" w:rsidP="00AC628B">
            <w:pPr>
              <w:numPr>
                <w:ilvl w:val="0"/>
                <w:numId w:val="717"/>
              </w:numPr>
              <w:snapToGrid w:val="0"/>
              <w:rPr>
                <w:rFonts w:ascii="SimSun" w:eastAsia="SimSun" w:hAnsi="SimSun"/>
                <w:sz w:val="20"/>
                <w:szCs w:val="20"/>
              </w:rPr>
            </w:pPr>
            <w:r w:rsidRPr="004806EE">
              <w:rPr>
                <w:sz w:val="20"/>
                <w:szCs w:val="20"/>
              </w:rPr>
              <w:t>FFS: Whether all the ‘CSI-RS for CSI’ resources within each resource set follow the legacy pre-Rel-19 rules of CSI-RS resources associated with a same resource set, and whether only 1 or N</w:t>
            </w:r>
            <w:r w:rsidRPr="004806EE">
              <w:rPr>
                <w:sz w:val="20"/>
                <w:szCs w:val="20"/>
                <w:vertAlign w:val="subscript"/>
              </w:rPr>
              <w:t>TRP</w:t>
            </w:r>
            <w:r w:rsidRPr="004806EE">
              <w:rPr>
                <w:sz w:val="20"/>
                <w:szCs w:val="20"/>
              </w:rPr>
              <w:t xml:space="preserve"> &gt;1 resource sets are used</w:t>
            </w:r>
          </w:p>
          <w:p w:rsidR="00AC628B" w:rsidRPr="004806EE" w:rsidRDefault="00AC628B" w:rsidP="00AC628B">
            <w:pPr>
              <w:numPr>
                <w:ilvl w:val="0"/>
                <w:numId w:val="717"/>
              </w:numPr>
              <w:snapToGrid w:val="0"/>
              <w:rPr>
                <w:rFonts w:ascii="SimSun" w:eastAsia="SimSun" w:hAnsi="SimSun"/>
                <w:sz w:val="20"/>
                <w:szCs w:val="20"/>
              </w:rPr>
            </w:pPr>
            <w:r w:rsidRPr="004806EE">
              <w:rPr>
                <w:sz w:val="20"/>
                <w:szCs w:val="20"/>
              </w:rPr>
              <w:t>FFS: The exact number of CSI-RS resource(s) within each resource set</w:t>
            </w:r>
          </w:p>
          <w:p w:rsidR="00AC628B" w:rsidRPr="004806EE" w:rsidRDefault="00AC628B" w:rsidP="00AC628B">
            <w:pPr>
              <w:pStyle w:val="ListParagraph"/>
              <w:numPr>
                <w:ilvl w:val="0"/>
                <w:numId w:val="717"/>
              </w:numPr>
              <w:snapToGrid w:val="0"/>
              <w:ind w:leftChars="0"/>
              <w:contextualSpacing/>
              <w:rPr>
                <w:szCs w:val="20"/>
              </w:rPr>
            </w:pPr>
            <w:r w:rsidRPr="004806EE">
              <w:rPr>
                <w:szCs w:val="20"/>
              </w:rPr>
              <w:t>FFS: Whether different RE locations (FDM) are supported for the RSs</w:t>
            </w:r>
          </w:p>
          <w:p w:rsidR="00AC628B" w:rsidRPr="004806EE" w:rsidRDefault="00AC628B" w:rsidP="00AC628B">
            <w:pPr>
              <w:pStyle w:val="ListParagraph"/>
              <w:numPr>
                <w:ilvl w:val="0"/>
                <w:numId w:val="717"/>
              </w:numPr>
              <w:snapToGrid w:val="0"/>
              <w:ind w:leftChars="0"/>
              <w:rPr>
                <w:rFonts w:eastAsia="Times New Roman"/>
                <w:szCs w:val="20"/>
              </w:rPr>
            </w:pPr>
            <w:r w:rsidRPr="004806EE">
              <w:rPr>
                <w:szCs w:val="20"/>
              </w:rPr>
              <w:t>FFS: additional restrictions e.g. time separation between RSs, bandwidth</w:t>
            </w:r>
          </w:p>
          <w:p w:rsidR="00AC628B" w:rsidRPr="00AC628B" w:rsidRDefault="00AC628B" w:rsidP="00475974">
            <w:pPr>
              <w:pStyle w:val="0Maintext"/>
              <w:spacing w:after="120" w:afterAutospacing="0" w:line="240" w:lineRule="auto"/>
              <w:ind w:firstLine="0"/>
              <w:rPr>
                <w:lang w:eastAsia="zh-CN"/>
              </w:rPr>
            </w:pPr>
          </w:p>
        </w:tc>
      </w:tr>
    </w:tbl>
    <w:p w:rsidR="00AC628B" w:rsidRDefault="00AC628B" w:rsidP="00475974">
      <w:pPr>
        <w:pStyle w:val="0Maintext"/>
        <w:spacing w:after="120" w:afterAutospacing="0" w:line="240" w:lineRule="auto"/>
        <w:ind w:firstLine="0"/>
        <w:rPr>
          <w:lang w:val="en-US" w:eastAsia="zh-CN"/>
        </w:rPr>
      </w:pPr>
    </w:p>
    <w:p w:rsidR="00AC628B" w:rsidRDefault="00AC628B" w:rsidP="00475974">
      <w:pPr>
        <w:pStyle w:val="0Maintext"/>
        <w:spacing w:after="120" w:afterAutospacing="0" w:line="240" w:lineRule="auto"/>
        <w:ind w:firstLine="0"/>
        <w:rPr>
          <w:lang w:val="en-US" w:eastAsia="zh-CN"/>
        </w:rPr>
      </w:pPr>
      <w:r>
        <w:rPr>
          <w:lang w:val="en-US" w:eastAsia="zh-CN"/>
        </w:rPr>
        <w:t>For DO and FO report, the remaining issue is the additional constraints for the TRSs configured as CMR. For TRS, a few constraints have already been defined. The DO and FO measurement do not require cross-TRS measurement. But for single DO or FO report, it is better that the NW can configure whether the TRSs are based on pre-compensation of FO or DO or not. Then it could simplify the UE complexity.</w:t>
      </w:r>
    </w:p>
    <w:p w:rsidR="00AC628B" w:rsidRPr="00AC628B" w:rsidRDefault="00AC628B" w:rsidP="00475974">
      <w:pPr>
        <w:pStyle w:val="0Maintext"/>
        <w:spacing w:after="120" w:afterAutospacing="0" w:line="240" w:lineRule="auto"/>
        <w:ind w:firstLine="0"/>
        <w:rPr>
          <w:b/>
          <w:bCs/>
          <w:i/>
          <w:iCs/>
          <w:lang w:val="en-US" w:eastAsia="zh-CN"/>
        </w:rPr>
      </w:pPr>
      <w:r w:rsidRPr="00AC628B">
        <w:rPr>
          <w:b/>
          <w:bCs/>
          <w:i/>
          <w:iCs/>
          <w:lang w:val="en-US" w:eastAsia="zh-CN"/>
        </w:rPr>
        <w:t xml:space="preserve">Proposal </w:t>
      </w:r>
      <w:r w:rsidR="000E56AD">
        <w:rPr>
          <w:b/>
          <w:bCs/>
          <w:i/>
          <w:iCs/>
          <w:lang w:val="en-US" w:eastAsia="zh-CN"/>
        </w:rPr>
        <w:t>4</w:t>
      </w:r>
      <w:r w:rsidRPr="00AC628B">
        <w:rPr>
          <w:b/>
          <w:bCs/>
          <w:i/>
          <w:iCs/>
          <w:lang w:val="en-US" w:eastAsia="zh-CN"/>
        </w:rPr>
        <w:t>: For the TRSs configured for DO report, support the NW configure the TCI states for the TRSs based on the following schemes:</w:t>
      </w:r>
    </w:p>
    <w:p w:rsidR="00AC628B" w:rsidRPr="00AC628B" w:rsidRDefault="00AC628B" w:rsidP="00AC628B">
      <w:pPr>
        <w:pStyle w:val="0Maintext"/>
        <w:numPr>
          <w:ilvl w:val="0"/>
          <w:numId w:val="645"/>
        </w:numPr>
        <w:spacing w:after="120" w:afterAutospacing="0" w:line="240" w:lineRule="auto"/>
        <w:rPr>
          <w:b/>
          <w:bCs/>
          <w:i/>
          <w:iCs/>
          <w:lang w:val="en-US" w:eastAsia="zh-CN"/>
        </w:rPr>
      </w:pPr>
      <w:r w:rsidRPr="00AC628B">
        <w:rPr>
          <w:b/>
          <w:bCs/>
          <w:i/>
          <w:iCs/>
          <w:lang w:val="en-US" w:eastAsia="zh-CN"/>
        </w:rPr>
        <w:t>Scheme 1 (Without pre-compensation of FO): Separate TCI state for each TRS</w:t>
      </w:r>
    </w:p>
    <w:p w:rsidR="00AC628B" w:rsidRPr="00AC628B" w:rsidRDefault="00AC628B" w:rsidP="00AC628B">
      <w:pPr>
        <w:pStyle w:val="0Maintext"/>
        <w:numPr>
          <w:ilvl w:val="0"/>
          <w:numId w:val="645"/>
        </w:numPr>
        <w:spacing w:after="120" w:afterAutospacing="0" w:line="240" w:lineRule="auto"/>
        <w:rPr>
          <w:b/>
          <w:bCs/>
          <w:i/>
          <w:iCs/>
          <w:lang w:val="en-US" w:eastAsia="zh-CN"/>
        </w:rPr>
      </w:pPr>
      <w:r w:rsidRPr="00AC628B">
        <w:rPr>
          <w:b/>
          <w:bCs/>
          <w:i/>
          <w:iCs/>
          <w:lang w:val="en-US" w:eastAsia="zh-CN"/>
        </w:rPr>
        <w:t xml:space="preserve">Scheme 2 (With pre-compensation of FO): All the TRSs are configured with a common TCI state for </w:t>
      </w:r>
      <w:r>
        <w:rPr>
          <w:b/>
          <w:bCs/>
          <w:i/>
          <w:iCs/>
          <w:lang w:val="en-US" w:eastAsia="zh-CN"/>
        </w:rPr>
        <w:t>QCL-TypeC indication without average delay</w:t>
      </w:r>
      <w:r w:rsidRPr="00AC628B">
        <w:rPr>
          <w:b/>
          <w:bCs/>
          <w:i/>
          <w:iCs/>
          <w:lang w:val="en-US" w:eastAsia="zh-CN"/>
        </w:rPr>
        <w:t xml:space="preserve">, and each TRS is configured with a separate TCI state for </w:t>
      </w:r>
      <w:r>
        <w:rPr>
          <w:b/>
          <w:bCs/>
          <w:i/>
          <w:iCs/>
          <w:lang w:val="en-US" w:eastAsia="zh-CN"/>
        </w:rPr>
        <w:t>QCL-TypeC indication without Doppler shift</w:t>
      </w:r>
    </w:p>
    <w:p w:rsidR="00AC628B" w:rsidRPr="00AC628B" w:rsidRDefault="00AC628B" w:rsidP="00AC628B">
      <w:pPr>
        <w:pStyle w:val="0Maintext"/>
        <w:spacing w:after="120" w:afterAutospacing="0" w:line="240" w:lineRule="auto"/>
        <w:ind w:firstLine="0"/>
        <w:rPr>
          <w:b/>
          <w:bCs/>
          <w:i/>
          <w:iCs/>
          <w:lang w:val="en-US" w:eastAsia="zh-CN"/>
        </w:rPr>
      </w:pPr>
      <w:r w:rsidRPr="00AC628B">
        <w:rPr>
          <w:b/>
          <w:bCs/>
          <w:i/>
          <w:iCs/>
          <w:lang w:val="en-US" w:eastAsia="zh-CN"/>
        </w:rPr>
        <w:t xml:space="preserve">Proposal </w:t>
      </w:r>
      <w:r w:rsidR="000E56AD">
        <w:rPr>
          <w:b/>
          <w:bCs/>
          <w:i/>
          <w:iCs/>
          <w:lang w:val="en-US" w:eastAsia="zh-CN"/>
        </w:rPr>
        <w:t>5</w:t>
      </w:r>
      <w:r w:rsidRPr="00AC628B">
        <w:rPr>
          <w:b/>
          <w:bCs/>
          <w:i/>
          <w:iCs/>
          <w:lang w:val="en-US" w:eastAsia="zh-CN"/>
        </w:rPr>
        <w:t>: For the TRSs configured for FO report, support the NW configure the TCI states for the TRSs based on the following schemes:</w:t>
      </w:r>
    </w:p>
    <w:p w:rsidR="00AC628B" w:rsidRPr="00AC628B" w:rsidRDefault="00AC628B" w:rsidP="00AC628B">
      <w:pPr>
        <w:pStyle w:val="0Maintext"/>
        <w:numPr>
          <w:ilvl w:val="0"/>
          <w:numId w:val="645"/>
        </w:numPr>
        <w:spacing w:after="120" w:afterAutospacing="0" w:line="240" w:lineRule="auto"/>
        <w:rPr>
          <w:b/>
          <w:bCs/>
          <w:i/>
          <w:iCs/>
          <w:lang w:val="en-US" w:eastAsia="zh-CN"/>
        </w:rPr>
      </w:pPr>
      <w:r w:rsidRPr="00AC628B">
        <w:rPr>
          <w:b/>
          <w:bCs/>
          <w:i/>
          <w:iCs/>
          <w:lang w:val="en-US" w:eastAsia="zh-CN"/>
        </w:rPr>
        <w:t>Scheme 1 (Without pre-compensation of DO): Separate TCI state for each TRS</w:t>
      </w:r>
    </w:p>
    <w:p w:rsidR="00AC628B" w:rsidRPr="00AC628B" w:rsidRDefault="00AC628B" w:rsidP="00AC628B">
      <w:pPr>
        <w:pStyle w:val="0Maintext"/>
        <w:numPr>
          <w:ilvl w:val="0"/>
          <w:numId w:val="645"/>
        </w:numPr>
        <w:spacing w:after="120" w:afterAutospacing="0" w:line="240" w:lineRule="auto"/>
        <w:rPr>
          <w:b/>
          <w:bCs/>
          <w:i/>
          <w:iCs/>
          <w:lang w:val="en-US" w:eastAsia="zh-CN"/>
        </w:rPr>
      </w:pPr>
      <w:r w:rsidRPr="00AC628B">
        <w:rPr>
          <w:b/>
          <w:bCs/>
          <w:i/>
          <w:iCs/>
          <w:lang w:val="en-US" w:eastAsia="zh-CN"/>
        </w:rPr>
        <w:t xml:space="preserve">Scheme 2 (With pre-compensation of DO): All the TRSs are configured with a common TCI state for </w:t>
      </w:r>
      <w:r>
        <w:rPr>
          <w:b/>
          <w:bCs/>
          <w:i/>
          <w:iCs/>
          <w:lang w:val="en-US" w:eastAsia="zh-CN"/>
        </w:rPr>
        <w:t>QCL-TypeC indication without Doppler shift</w:t>
      </w:r>
      <w:r w:rsidRPr="00AC628B">
        <w:rPr>
          <w:b/>
          <w:bCs/>
          <w:i/>
          <w:iCs/>
          <w:lang w:val="en-US" w:eastAsia="zh-CN"/>
        </w:rPr>
        <w:t xml:space="preserve">, and each TRS is configured with a separate TCI state for </w:t>
      </w:r>
      <w:r>
        <w:rPr>
          <w:b/>
          <w:bCs/>
          <w:i/>
          <w:iCs/>
          <w:lang w:val="en-US" w:eastAsia="zh-CN"/>
        </w:rPr>
        <w:t>QCL-TypeC indication without average delay</w:t>
      </w:r>
    </w:p>
    <w:p w:rsidR="00AC628B" w:rsidRDefault="00AC628B" w:rsidP="00475974">
      <w:pPr>
        <w:pStyle w:val="0Maintext"/>
        <w:spacing w:after="120" w:afterAutospacing="0" w:line="240" w:lineRule="auto"/>
        <w:ind w:firstLine="0"/>
        <w:rPr>
          <w:lang w:val="en-US" w:eastAsia="zh-CN"/>
        </w:rPr>
      </w:pPr>
    </w:p>
    <w:p w:rsidR="00AC628B" w:rsidRDefault="00AC628B" w:rsidP="00475974">
      <w:pPr>
        <w:pStyle w:val="0Maintext"/>
        <w:spacing w:after="120" w:afterAutospacing="0" w:line="240" w:lineRule="auto"/>
        <w:ind w:firstLine="0"/>
        <w:rPr>
          <w:lang w:val="en-US" w:eastAsia="zh-CN"/>
        </w:rPr>
      </w:pPr>
      <w:r>
        <w:rPr>
          <w:lang w:val="en-US" w:eastAsia="zh-CN"/>
        </w:rPr>
        <w:t>For PO report, single-port CSI-RS resources can be configured. To maintain the same measurement accuracy as DO/FO report, similar constraints as TRS can be considered, thus the minimum bandwidth for the single-port CSI-RS should be min(52, N</w:t>
      </w:r>
      <w:r w:rsidRPr="00AC628B">
        <w:rPr>
          <w:vertAlign w:val="subscript"/>
          <w:lang w:val="en-US" w:eastAsia="zh-CN"/>
        </w:rPr>
        <w:t>BWP</w:t>
      </w:r>
      <w:r>
        <w:rPr>
          <w:lang w:val="en-US" w:eastAsia="zh-CN"/>
        </w:rPr>
        <w:t>) RBs, where N</w:t>
      </w:r>
      <w:r w:rsidRPr="00AC628B">
        <w:rPr>
          <w:vertAlign w:val="subscript"/>
          <w:lang w:val="en-US" w:eastAsia="zh-CN"/>
        </w:rPr>
        <w:t>BWP</w:t>
      </w:r>
      <w:r>
        <w:rPr>
          <w:lang w:val="en-US" w:eastAsia="zh-CN"/>
        </w:rPr>
        <w:t xml:space="preserve"> is the number of RBs for the active DL BWP. The frequency domain density can be 3 REs/RB. In addition, the NW can configure the TCI state for the single-port CSI-RSs to tell the UE whether the DO/FO pre-compensation is performed. However, currently, only QCL-TypeB is allowed to be configured for CSI-RS for CSI when QCL-TypeD is not applicable. Then firstly the QCL-TypeC should be allowed for the QCL indication for the CSI-RS. Then the NW can configure whether the DO/FO is pre-compensated by configuring whether the CSI-RSs share a common average delay or Doppler shift.</w:t>
      </w:r>
    </w:p>
    <w:p w:rsidR="00AC628B" w:rsidRPr="00AC628B" w:rsidRDefault="00AC628B" w:rsidP="00475974">
      <w:pPr>
        <w:pStyle w:val="0Maintext"/>
        <w:spacing w:after="120" w:afterAutospacing="0" w:line="240" w:lineRule="auto"/>
        <w:ind w:firstLine="0"/>
        <w:rPr>
          <w:b/>
          <w:bCs/>
          <w:i/>
          <w:iCs/>
          <w:lang w:val="en-US" w:eastAsia="zh-CN"/>
        </w:rPr>
      </w:pPr>
      <w:r w:rsidRPr="00AC628B">
        <w:rPr>
          <w:b/>
          <w:bCs/>
          <w:i/>
          <w:iCs/>
          <w:lang w:val="en-US" w:eastAsia="zh-CN"/>
        </w:rPr>
        <w:t xml:space="preserve">Proposal </w:t>
      </w:r>
      <w:r w:rsidR="000E56AD">
        <w:rPr>
          <w:b/>
          <w:bCs/>
          <w:i/>
          <w:iCs/>
          <w:lang w:val="en-US" w:eastAsia="zh-CN"/>
        </w:rPr>
        <w:t>6</w:t>
      </w:r>
      <w:r w:rsidRPr="00AC628B">
        <w:rPr>
          <w:b/>
          <w:bCs/>
          <w:i/>
          <w:iCs/>
          <w:lang w:val="en-US" w:eastAsia="zh-CN"/>
        </w:rPr>
        <w:t>: For PO report, support the following constraints for the single-port CSI-RS resources configured as CMR:</w:t>
      </w:r>
    </w:p>
    <w:p w:rsidR="00AC628B" w:rsidRPr="00AC628B" w:rsidRDefault="00AC628B" w:rsidP="00AC628B">
      <w:pPr>
        <w:pStyle w:val="0Maintext"/>
        <w:numPr>
          <w:ilvl w:val="0"/>
          <w:numId w:val="821"/>
        </w:numPr>
        <w:spacing w:after="120" w:afterAutospacing="0" w:line="240" w:lineRule="auto"/>
        <w:rPr>
          <w:b/>
          <w:bCs/>
          <w:i/>
          <w:iCs/>
          <w:lang w:val="en-US" w:eastAsia="zh-CN"/>
        </w:rPr>
      </w:pPr>
      <w:r w:rsidRPr="00AC628B">
        <w:rPr>
          <w:b/>
          <w:bCs/>
          <w:i/>
          <w:iCs/>
          <w:lang w:val="en-US" w:eastAsia="zh-CN"/>
        </w:rPr>
        <w:t>The minimum bandwidth for the single-port CSI-RS should be min(52, N</w:t>
      </w:r>
      <w:r w:rsidRPr="00AC628B">
        <w:rPr>
          <w:b/>
          <w:bCs/>
          <w:i/>
          <w:iCs/>
          <w:vertAlign w:val="subscript"/>
          <w:lang w:val="en-US" w:eastAsia="zh-CN"/>
        </w:rPr>
        <w:t>BWP</w:t>
      </w:r>
      <w:r w:rsidRPr="00AC628B">
        <w:rPr>
          <w:b/>
          <w:bCs/>
          <w:i/>
          <w:iCs/>
          <w:lang w:val="en-US" w:eastAsia="zh-CN"/>
        </w:rPr>
        <w:t>) RBs, where N</w:t>
      </w:r>
      <w:r w:rsidRPr="00AC628B">
        <w:rPr>
          <w:b/>
          <w:bCs/>
          <w:i/>
          <w:iCs/>
          <w:vertAlign w:val="subscript"/>
          <w:lang w:val="en-US" w:eastAsia="zh-CN"/>
        </w:rPr>
        <w:t>BWP</w:t>
      </w:r>
      <w:r w:rsidRPr="00AC628B">
        <w:rPr>
          <w:b/>
          <w:bCs/>
          <w:i/>
          <w:iCs/>
          <w:lang w:val="en-US" w:eastAsia="zh-CN"/>
        </w:rPr>
        <w:t xml:space="preserve"> is the number of RBs for the active DL BWP</w:t>
      </w:r>
    </w:p>
    <w:p w:rsidR="00AC628B" w:rsidRPr="00AC628B" w:rsidRDefault="00AC628B" w:rsidP="00AC628B">
      <w:pPr>
        <w:pStyle w:val="0Maintext"/>
        <w:numPr>
          <w:ilvl w:val="0"/>
          <w:numId w:val="821"/>
        </w:numPr>
        <w:spacing w:after="120" w:afterAutospacing="0" w:line="240" w:lineRule="auto"/>
        <w:rPr>
          <w:b/>
          <w:bCs/>
          <w:i/>
          <w:iCs/>
          <w:lang w:val="en-US" w:eastAsia="zh-CN"/>
        </w:rPr>
      </w:pPr>
      <w:r w:rsidRPr="00AC628B">
        <w:rPr>
          <w:b/>
          <w:bCs/>
          <w:i/>
          <w:iCs/>
          <w:lang w:val="en-US" w:eastAsia="zh-CN"/>
        </w:rPr>
        <w:t xml:space="preserve">The frequency domain density </w:t>
      </w:r>
      <w:r w:rsidR="009267D8">
        <w:rPr>
          <w:b/>
          <w:bCs/>
          <w:i/>
          <w:iCs/>
          <w:lang w:val="en-US" w:eastAsia="zh-CN"/>
        </w:rPr>
        <w:t>should be</w:t>
      </w:r>
      <w:r w:rsidRPr="00AC628B">
        <w:rPr>
          <w:b/>
          <w:bCs/>
          <w:i/>
          <w:iCs/>
          <w:lang w:val="en-US" w:eastAsia="zh-CN"/>
        </w:rPr>
        <w:t xml:space="preserve"> 3 REs/RB</w:t>
      </w:r>
    </w:p>
    <w:p w:rsidR="00AC628B" w:rsidRDefault="00AC628B" w:rsidP="00475974">
      <w:pPr>
        <w:pStyle w:val="0Maintext"/>
        <w:spacing w:after="120" w:afterAutospacing="0" w:line="240" w:lineRule="auto"/>
        <w:ind w:firstLine="0"/>
        <w:rPr>
          <w:lang w:val="en-US" w:eastAsia="zh-CN"/>
        </w:rPr>
      </w:pPr>
    </w:p>
    <w:p w:rsidR="00AC628B" w:rsidRPr="00AC628B" w:rsidRDefault="00AC628B" w:rsidP="00AC628B">
      <w:pPr>
        <w:pStyle w:val="0Maintext"/>
        <w:spacing w:after="120" w:afterAutospacing="0" w:line="240" w:lineRule="auto"/>
        <w:ind w:firstLine="0"/>
        <w:rPr>
          <w:b/>
          <w:bCs/>
          <w:i/>
          <w:iCs/>
          <w:lang w:val="en-US" w:eastAsia="zh-CN"/>
        </w:rPr>
      </w:pPr>
      <w:r w:rsidRPr="00AC628B">
        <w:rPr>
          <w:b/>
          <w:bCs/>
          <w:i/>
          <w:iCs/>
          <w:lang w:val="en-US" w:eastAsia="zh-CN"/>
        </w:rPr>
        <w:t xml:space="preserve">Proposal </w:t>
      </w:r>
      <w:r w:rsidR="000E56AD">
        <w:rPr>
          <w:b/>
          <w:bCs/>
          <w:i/>
          <w:iCs/>
          <w:lang w:val="en-US" w:eastAsia="zh-CN"/>
        </w:rPr>
        <w:t>7</w:t>
      </w:r>
      <w:r w:rsidRPr="00AC628B">
        <w:rPr>
          <w:b/>
          <w:bCs/>
          <w:i/>
          <w:iCs/>
          <w:lang w:val="en-US" w:eastAsia="zh-CN"/>
        </w:rPr>
        <w:t xml:space="preserve">: For the </w:t>
      </w:r>
      <w:r>
        <w:rPr>
          <w:b/>
          <w:bCs/>
          <w:i/>
          <w:iCs/>
          <w:lang w:val="en-US" w:eastAsia="zh-CN"/>
        </w:rPr>
        <w:t>single-port CSI-RS resources</w:t>
      </w:r>
      <w:r w:rsidRPr="00AC628B">
        <w:rPr>
          <w:b/>
          <w:bCs/>
          <w:i/>
          <w:iCs/>
          <w:lang w:val="en-US" w:eastAsia="zh-CN"/>
        </w:rPr>
        <w:t xml:space="preserve"> configured for FO report, support the NW configure the TCI states for the </w:t>
      </w:r>
      <w:r>
        <w:rPr>
          <w:b/>
          <w:bCs/>
          <w:i/>
          <w:iCs/>
          <w:lang w:val="en-US" w:eastAsia="zh-CN"/>
        </w:rPr>
        <w:t>CSI-RS resources</w:t>
      </w:r>
      <w:r w:rsidRPr="00AC628B">
        <w:rPr>
          <w:b/>
          <w:bCs/>
          <w:i/>
          <w:iCs/>
          <w:lang w:val="en-US" w:eastAsia="zh-CN"/>
        </w:rPr>
        <w:t xml:space="preserve"> based on the following schemes:</w:t>
      </w:r>
    </w:p>
    <w:p w:rsidR="00AC628B" w:rsidRPr="00AC628B" w:rsidRDefault="00AC628B" w:rsidP="00AC628B">
      <w:pPr>
        <w:pStyle w:val="0Maintext"/>
        <w:numPr>
          <w:ilvl w:val="0"/>
          <w:numId w:val="645"/>
        </w:numPr>
        <w:spacing w:after="120" w:afterAutospacing="0" w:line="240" w:lineRule="auto"/>
        <w:rPr>
          <w:b/>
          <w:bCs/>
          <w:i/>
          <w:iCs/>
          <w:lang w:val="en-US" w:eastAsia="zh-CN"/>
        </w:rPr>
      </w:pPr>
      <w:r w:rsidRPr="00AC628B">
        <w:rPr>
          <w:b/>
          <w:bCs/>
          <w:i/>
          <w:iCs/>
          <w:lang w:val="en-US" w:eastAsia="zh-CN"/>
        </w:rPr>
        <w:t>Scheme 1 (Without pre-compensation of DO</w:t>
      </w:r>
      <w:r>
        <w:rPr>
          <w:b/>
          <w:bCs/>
          <w:i/>
          <w:iCs/>
          <w:lang w:val="en-US" w:eastAsia="zh-CN"/>
        </w:rPr>
        <w:t>/FO</w:t>
      </w:r>
      <w:r w:rsidRPr="00AC628B">
        <w:rPr>
          <w:b/>
          <w:bCs/>
          <w:i/>
          <w:iCs/>
          <w:lang w:val="en-US" w:eastAsia="zh-CN"/>
        </w:rPr>
        <w:t xml:space="preserve">): Separate TCI state </w:t>
      </w:r>
      <w:r>
        <w:rPr>
          <w:b/>
          <w:bCs/>
          <w:i/>
          <w:iCs/>
          <w:lang w:val="en-US" w:eastAsia="zh-CN"/>
        </w:rPr>
        <w:t xml:space="preserve">with QCL-TypeC indication </w:t>
      </w:r>
      <w:r w:rsidRPr="00AC628B">
        <w:rPr>
          <w:b/>
          <w:bCs/>
          <w:i/>
          <w:iCs/>
          <w:lang w:val="en-US" w:eastAsia="zh-CN"/>
        </w:rPr>
        <w:t xml:space="preserve">for each </w:t>
      </w:r>
      <w:r>
        <w:rPr>
          <w:b/>
          <w:bCs/>
          <w:i/>
          <w:iCs/>
          <w:lang w:val="en-US" w:eastAsia="zh-CN"/>
        </w:rPr>
        <w:t>CSI-RS resource</w:t>
      </w:r>
    </w:p>
    <w:p w:rsidR="00AC628B" w:rsidRDefault="00AC628B" w:rsidP="00AC628B">
      <w:pPr>
        <w:pStyle w:val="0Maintext"/>
        <w:numPr>
          <w:ilvl w:val="0"/>
          <w:numId w:val="645"/>
        </w:numPr>
        <w:spacing w:after="120" w:afterAutospacing="0" w:line="240" w:lineRule="auto"/>
        <w:rPr>
          <w:b/>
          <w:bCs/>
          <w:i/>
          <w:iCs/>
          <w:lang w:val="en-US" w:eastAsia="zh-CN"/>
        </w:rPr>
      </w:pPr>
      <w:r w:rsidRPr="00AC628B">
        <w:rPr>
          <w:b/>
          <w:bCs/>
          <w:i/>
          <w:iCs/>
          <w:lang w:val="en-US" w:eastAsia="zh-CN"/>
        </w:rPr>
        <w:lastRenderedPageBreak/>
        <w:t xml:space="preserve">Scheme 2 (With pre-compensation of DO): All the </w:t>
      </w:r>
      <w:r>
        <w:rPr>
          <w:b/>
          <w:bCs/>
          <w:i/>
          <w:iCs/>
          <w:lang w:val="en-US" w:eastAsia="zh-CN"/>
        </w:rPr>
        <w:t>CSI-RS resources</w:t>
      </w:r>
      <w:r w:rsidRPr="00AC628B">
        <w:rPr>
          <w:b/>
          <w:bCs/>
          <w:i/>
          <w:iCs/>
          <w:lang w:val="en-US" w:eastAsia="zh-CN"/>
        </w:rPr>
        <w:t xml:space="preserve"> are configured with a common TCI state for </w:t>
      </w:r>
      <w:r>
        <w:rPr>
          <w:b/>
          <w:bCs/>
          <w:i/>
          <w:iCs/>
          <w:lang w:val="en-US" w:eastAsia="zh-CN"/>
        </w:rPr>
        <w:t>QCL-TypeC indication without Doppler shift</w:t>
      </w:r>
      <w:r w:rsidRPr="00AC628B">
        <w:rPr>
          <w:b/>
          <w:bCs/>
          <w:i/>
          <w:iCs/>
          <w:lang w:val="en-US" w:eastAsia="zh-CN"/>
        </w:rPr>
        <w:t xml:space="preserve">, and each </w:t>
      </w:r>
      <w:r>
        <w:rPr>
          <w:b/>
          <w:bCs/>
          <w:i/>
          <w:iCs/>
          <w:lang w:val="en-US" w:eastAsia="zh-CN"/>
        </w:rPr>
        <w:t>CSI-RS resource</w:t>
      </w:r>
      <w:r w:rsidRPr="00AC628B">
        <w:rPr>
          <w:b/>
          <w:bCs/>
          <w:i/>
          <w:iCs/>
          <w:lang w:val="en-US" w:eastAsia="zh-CN"/>
        </w:rPr>
        <w:t xml:space="preserve"> is configured with a separate TCI state for </w:t>
      </w:r>
      <w:r>
        <w:rPr>
          <w:b/>
          <w:bCs/>
          <w:i/>
          <w:iCs/>
          <w:lang w:val="en-US" w:eastAsia="zh-CN"/>
        </w:rPr>
        <w:t>QCL-TypeC indication without average delay</w:t>
      </w:r>
    </w:p>
    <w:p w:rsidR="00AC628B" w:rsidRDefault="00AC628B" w:rsidP="00AC628B">
      <w:pPr>
        <w:pStyle w:val="0Maintext"/>
        <w:numPr>
          <w:ilvl w:val="0"/>
          <w:numId w:val="645"/>
        </w:numPr>
        <w:spacing w:after="120" w:afterAutospacing="0" w:line="240" w:lineRule="auto"/>
        <w:rPr>
          <w:b/>
          <w:bCs/>
          <w:i/>
          <w:iCs/>
          <w:lang w:val="en-US" w:eastAsia="zh-CN"/>
        </w:rPr>
      </w:pPr>
      <w:r w:rsidRPr="00AC628B">
        <w:rPr>
          <w:b/>
          <w:bCs/>
          <w:i/>
          <w:iCs/>
          <w:lang w:val="en-US" w:eastAsia="zh-CN"/>
        </w:rPr>
        <w:t xml:space="preserve">Scheme </w:t>
      </w:r>
      <w:r>
        <w:rPr>
          <w:b/>
          <w:bCs/>
          <w:i/>
          <w:iCs/>
          <w:lang w:val="en-US" w:eastAsia="zh-CN"/>
        </w:rPr>
        <w:t>3</w:t>
      </w:r>
      <w:r w:rsidRPr="00AC628B">
        <w:rPr>
          <w:b/>
          <w:bCs/>
          <w:i/>
          <w:iCs/>
          <w:lang w:val="en-US" w:eastAsia="zh-CN"/>
        </w:rPr>
        <w:t xml:space="preserve"> (With pre-compensation of </w:t>
      </w:r>
      <w:r>
        <w:rPr>
          <w:b/>
          <w:bCs/>
          <w:i/>
          <w:iCs/>
          <w:lang w:val="en-US" w:eastAsia="zh-CN"/>
        </w:rPr>
        <w:t>F</w:t>
      </w:r>
      <w:r w:rsidRPr="00AC628B">
        <w:rPr>
          <w:b/>
          <w:bCs/>
          <w:i/>
          <w:iCs/>
          <w:lang w:val="en-US" w:eastAsia="zh-CN"/>
        </w:rPr>
        <w:t xml:space="preserve">O): All the </w:t>
      </w:r>
      <w:r>
        <w:rPr>
          <w:b/>
          <w:bCs/>
          <w:i/>
          <w:iCs/>
          <w:lang w:val="en-US" w:eastAsia="zh-CN"/>
        </w:rPr>
        <w:t>CSI-RS resources</w:t>
      </w:r>
      <w:r w:rsidRPr="00AC628B">
        <w:rPr>
          <w:b/>
          <w:bCs/>
          <w:i/>
          <w:iCs/>
          <w:lang w:val="en-US" w:eastAsia="zh-CN"/>
        </w:rPr>
        <w:t xml:space="preserve"> are configured with a common TCI state for </w:t>
      </w:r>
      <w:r>
        <w:rPr>
          <w:b/>
          <w:bCs/>
          <w:i/>
          <w:iCs/>
          <w:lang w:val="en-US" w:eastAsia="zh-CN"/>
        </w:rPr>
        <w:t>QCL-TypeC indication without average delay</w:t>
      </w:r>
      <w:r w:rsidRPr="00AC628B">
        <w:rPr>
          <w:b/>
          <w:bCs/>
          <w:i/>
          <w:iCs/>
          <w:lang w:val="en-US" w:eastAsia="zh-CN"/>
        </w:rPr>
        <w:t xml:space="preserve">, and each </w:t>
      </w:r>
      <w:r>
        <w:rPr>
          <w:b/>
          <w:bCs/>
          <w:i/>
          <w:iCs/>
          <w:lang w:val="en-US" w:eastAsia="zh-CN"/>
        </w:rPr>
        <w:t>CSI-RS resource</w:t>
      </w:r>
      <w:r w:rsidRPr="00AC628B">
        <w:rPr>
          <w:b/>
          <w:bCs/>
          <w:i/>
          <w:iCs/>
          <w:lang w:val="en-US" w:eastAsia="zh-CN"/>
        </w:rPr>
        <w:t xml:space="preserve"> is configured with a separate TCI state for </w:t>
      </w:r>
      <w:r>
        <w:rPr>
          <w:b/>
          <w:bCs/>
          <w:i/>
          <w:iCs/>
          <w:lang w:val="en-US" w:eastAsia="zh-CN"/>
        </w:rPr>
        <w:t>QCL-TypeC indication without Doppler shift</w:t>
      </w:r>
    </w:p>
    <w:p w:rsidR="00AC628B" w:rsidRDefault="00AC628B" w:rsidP="00AC628B">
      <w:pPr>
        <w:pStyle w:val="0Maintext"/>
        <w:numPr>
          <w:ilvl w:val="0"/>
          <w:numId w:val="645"/>
        </w:numPr>
        <w:spacing w:after="120" w:afterAutospacing="0" w:line="240" w:lineRule="auto"/>
        <w:rPr>
          <w:b/>
          <w:bCs/>
          <w:i/>
          <w:iCs/>
          <w:lang w:val="en-US" w:eastAsia="zh-CN"/>
        </w:rPr>
      </w:pPr>
      <w:r w:rsidRPr="00AC628B">
        <w:rPr>
          <w:b/>
          <w:bCs/>
          <w:i/>
          <w:iCs/>
          <w:lang w:val="en-US" w:eastAsia="zh-CN"/>
        </w:rPr>
        <w:t xml:space="preserve">Scheme </w:t>
      </w:r>
      <w:r>
        <w:rPr>
          <w:b/>
          <w:bCs/>
          <w:i/>
          <w:iCs/>
          <w:lang w:val="en-US" w:eastAsia="zh-CN"/>
        </w:rPr>
        <w:t>4</w:t>
      </w:r>
      <w:r w:rsidRPr="00AC628B">
        <w:rPr>
          <w:b/>
          <w:bCs/>
          <w:i/>
          <w:iCs/>
          <w:lang w:val="en-US" w:eastAsia="zh-CN"/>
        </w:rPr>
        <w:t xml:space="preserve"> (With pre-compensation of DO</w:t>
      </w:r>
      <w:r>
        <w:rPr>
          <w:b/>
          <w:bCs/>
          <w:i/>
          <w:iCs/>
          <w:lang w:val="en-US" w:eastAsia="zh-CN"/>
        </w:rPr>
        <w:t xml:space="preserve"> and FO</w:t>
      </w:r>
      <w:r w:rsidRPr="00AC628B">
        <w:rPr>
          <w:b/>
          <w:bCs/>
          <w:i/>
          <w:iCs/>
          <w:lang w:val="en-US" w:eastAsia="zh-CN"/>
        </w:rPr>
        <w:t xml:space="preserve">): All the </w:t>
      </w:r>
      <w:r>
        <w:rPr>
          <w:b/>
          <w:bCs/>
          <w:i/>
          <w:iCs/>
          <w:lang w:val="en-US" w:eastAsia="zh-CN"/>
        </w:rPr>
        <w:t>CSI-RS resources</w:t>
      </w:r>
      <w:r w:rsidRPr="00AC628B">
        <w:rPr>
          <w:b/>
          <w:bCs/>
          <w:i/>
          <w:iCs/>
          <w:lang w:val="en-US" w:eastAsia="zh-CN"/>
        </w:rPr>
        <w:t xml:space="preserve"> are configured with a common TCI state for </w:t>
      </w:r>
      <w:r>
        <w:rPr>
          <w:b/>
          <w:bCs/>
          <w:i/>
          <w:iCs/>
          <w:lang w:val="en-US" w:eastAsia="zh-CN"/>
        </w:rPr>
        <w:t xml:space="preserve">QCL-TypeC </w:t>
      </w:r>
      <w:r w:rsidRPr="00AC628B">
        <w:rPr>
          <w:b/>
          <w:bCs/>
          <w:i/>
          <w:iCs/>
          <w:lang w:val="en-US" w:eastAsia="zh-CN"/>
        </w:rPr>
        <w:t>indication</w:t>
      </w:r>
    </w:p>
    <w:p w:rsidR="0050787A" w:rsidRDefault="0050787A" w:rsidP="00475974">
      <w:pPr>
        <w:pStyle w:val="0Maintext"/>
        <w:spacing w:after="120" w:afterAutospacing="0" w:line="240" w:lineRule="auto"/>
        <w:ind w:firstLine="0"/>
        <w:rPr>
          <w:lang w:val="en-US" w:eastAsia="zh-CN"/>
        </w:rPr>
      </w:pPr>
    </w:p>
    <w:p w:rsidR="005E2CF1" w:rsidRDefault="00B179E3" w:rsidP="005E2CF1">
      <w:pPr>
        <w:pStyle w:val="Heading2"/>
      </w:pPr>
      <w:r>
        <w:t>Associated SRS ports for PO measurement</w:t>
      </w:r>
    </w:p>
    <w:p w:rsidR="00B179E3" w:rsidRDefault="00B179E3" w:rsidP="00475974">
      <w:pPr>
        <w:pStyle w:val="0Maintext"/>
        <w:spacing w:after="120" w:afterAutospacing="0" w:line="240" w:lineRule="auto"/>
        <w:ind w:firstLine="0"/>
        <w:rPr>
          <w:lang w:val="en-US" w:eastAsia="zh-CN"/>
        </w:rPr>
      </w:pPr>
      <w:r>
        <w:rPr>
          <w:lang w:val="en-US" w:eastAsia="zh-CN"/>
        </w:rPr>
        <w:t>In RAN1 #11</w:t>
      </w:r>
      <w:r w:rsidR="000E56AD">
        <w:rPr>
          <w:lang w:val="en-US" w:eastAsia="zh-CN"/>
        </w:rPr>
        <w:t>8</w:t>
      </w:r>
      <w:r>
        <w:rPr>
          <w:lang w:val="en-US" w:eastAsia="zh-CN"/>
        </w:rPr>
        <w:t xml:space="preserve"> meeting, the following on associated SRS ports for PO measurement has been agreed.</w:t>
      </w:r>
    </w:p>
    <w:tbl>
      <w:tblPr>
        <w:tblStyle w:val="TableGrid"/>
        <w:tblW w:w="0" w:type="auto"/>
        <w:tblLook w:val="04A0" w:firstRow="1" w:lastRow="0" w:firstColumn="1" w:lastColumn="0" w:noHBand="0" w:noVBand="1"/>
      </w:tblPr>
      <w:tblGrid>
        <w:gridCol w:w="9010"/>
      </w:tblGrid>
      <w:tr w:rsidR="00B179E3" w:rsidTr="00B179E3">
        <w:tc>
          <w:tcPr>
            <w:tcW w:w="9010" w:type="dxa"/>
          </w:tcPr>
          <w:p w:rsidR="000E56AD" w:rsidRPr="002B690E" w:rsidRDefault="000E56AD" w:rsidP="000E56AD">
            <w:pPr>
              <w:rPr>
                <w:b/>
                <w:bCs/>
                <w:sz w:val="20"/>
                <w:szCs w:val="20"/>
                <w:highlight w:val="green"/>
                <w:lang w:eastAsia="x-none"/>
              </w:rPr>
            </w:pPr>
            <w:r w:rsidRPr="002B690E">
              <w:rPr>
                <w:b/>
                <w:bCs/>
                <w:sz w:val="20"/>
                <w:szCs w:val="20"/>
                <w:highlight w:val="green"/>
                <w:lang w:eastAsia="x-none"/>
              </w:rPr>
              <w:t>Agreement</w:t>
            </w:r>
          </w:p>
          <w:p w:rsidR="000E56AD" w:rsidRPr="002B690E" w:rsidRDefault="000E56AD" w:rsidP="000E56AD">
            <w:pPr>
              <w:snapToGrid w:val="0"/>
              <w:rPr>
                <w:rFonts w:eastAsia="Malgun Gothic"/>
                <w:sz w:val="20"/>
                <w:szCs w:val="20"/>
              </w:rPr>
            </w:pPr>
            <w:r w:rsidRPr="002B690E">
              <w:rPr>
                <w:rFonts w:eastAsia="Malgun Gothic"/>
                <w:sz w:val="20"/>
                <w:szCs w:val="20"/>
              </w:rPr>
              <w:t xml:space="preserve">For the Rel-19 aperiodic standalone CJT calibration reporting, when ReportQuantity is ‘cjtc-P’ (DL/UL phase offset), </w:t>
            </w:r>
          </w:p>
          <w:p w:rsidR="000E56AD" w:rsidRPr="002B690E" w:rsidRDefault="000E56AD" w:rsidP="000E56AD">
            <w:pPr>
              <w:pStyle w:val="ListParagraph"/>
              <w:numPr>
                <w:ilvl w:val="0"/>
                <w:numId w:val="1038"/>
              </w:numPr>
              <w:snapToGrid w:val="0"/>
              <w:ind w:leftChars="0"/>
              <w:contextualSpacing/>
              <w:rPr>
                <w:rFonts w:ascii="Times New Roman" w:eastAsia="Malgun Gothic" w:hAnsi="Times New Roman"/>
                <w:szCs w:val="20"/>
              </w:rPr>
            </w:pPr>
            <w:r w:rsidRPr="002B690E">
              <w:rPr>
                <w:rFonts w:ascii="Times New Roman" w:eastAsia="Malgun Gothic" w:hAnsi="Times New Roman"/>
                <w:szCs w:val="20"/>
              </w:rPr>
              <w:t>The supported value(s) of x follows the supported configuration(s) of SRS resource for antenna switching xTyR used for reciprocity-based DL CSI acquisition</w:t>
            </w:r>
          </w:p>
          <w:p w:rsidR="000E56AD" w:rsidRPr="002B690E" w:rsidRDefault="000E56AD" w:rsidP="000E56AD">
            <w:pPr>
              <w:pStyle w:val="ListParagraph"/>
              <w:numPr>
                <w:ilvl w:val="1"/>
                <w:numId w:val="1038"/>
              </w:numPr>
              <w:snapToGrid w:val="0"/>
              <w:ind w:leftChars="0"/>
              <w:contextualSpacing/>
              <w:rPr>
                <w:rFonts w:ascii="Times New Roman" w:eastAsia="Malgun Gothic" w:hAnsi="Times New Roman"/>
                <w:szCs w:val="20"/>
              </w:rPr>
            </w:pPr>
            <w:r w:rsidRPr="002B690E">
              <w:rPr>
                <w:rFonts w:ascii="Times New Roman" w:eastAsia="Malgun Gothic" w:hAnsi="Times New Roman"/>
                <w:szCs w:val="20"/>
              </w:rPr>
              <w:t>Note: This doesn’t have any spec impact (no new RRC parameter is needed)</w:t>
            </w:r>
          </w:p>
          <w:p w:rsidR="000E56AD" w:rsidRPr="002B690E" w:rsidRDefault="000E56AD" w:rsidP="000E56AD">
            <w:pPr>
              <w:pStyle w:val="ListParagraph"/>
              <w:numPr>
                <w:ilvl w:val="0"/>
                <w:numId w:val="1038"/>
              </w:numPr>
              <w:snapToGrid w:val="0"/>
              <w:ind w:leftChars="0"/>
              <w:contextualSpacing/>
              <w:rPr>
                <w:rFonts w:ascii="Times New Roman" w:eastAsia="Malgun Gothic" w:hAnsi="Times New Roman"/>
                <w:szCs w:val="20"/>
              </w:rPr>
            </w:pPr>
            <w:r w:rsidRPr="002B690E">
              <w:rPr>
                <w:rFonts w:ascii="Times New Roman" w:eastAsia="Malgun Gothic" w:hAnsi="Times New Roman"/>
                <w:szCs w:val="20"/>
              </w:rPr>
              <w:t>For the selection of P</w:t>
            </w:r>
            <w:r w:rsidRPr="002B690E">
              <w:rPr>
                <w:rFonts w:ascii="Times New Roman" w:eastAsia="Malgun Gothic" w:hAnsi="Times New Roman"/>
                <w:szCs w:val="20"/>
                <w:vertAlign w:val="subscript"/>
              </w:rPr>
              <w:t>SRS</w:t>
            </w:r>
            <w:r w:rsidRPr="002B690E">
              <w:rPr>
                <w:rFonts w:ascii="Times New Roman" w:eastAsia="Malgun Gothic" w:hAnsi="Times New Roman"/>
                <w:szCs w:val="20"/>
              </w:rPr>
              <w:t>=1 SRS port corresponding to the ‘reference UE antenna port’ (out of the available port(s)), decide, by RAN1#118, from the following schemes:</w:t>
            </w:r>
          </w:p>
          <w:p w:rsidR="000E56AD" w:rsidRPr="002B690E" w:rsidRDefault="000E56AD" w:rsidP="000E56AD">
            <w:pPr>
              <w:pStyle w:val="ListParagraph"/>
              <w:numPr>
                <w:ilvl w:val="1"/>
                <w:numId w:val="1038"/>
              </w:numPr>
              <w:snapToGrid w:val="0"/>
              <w:ind w:leftChars="0"/>
              <w:contextualSpacing/>
              <w:rPr>
                <w:rFonts w:ascii="Times New Roman" w:eastAsia="Malgun Gothic" w:hAnsi="Times New Roman"/>
                <w:szCs w:val="20"/>
              </w:rPr>
            </w:pPr>
            <w:r w:rsidRPr="002B690E">
              <w:rPr>
                <w:rFonts w:ascii="Times New Roman" w:eastAsia="Malgun Gothic" w:hAnsi="Times New Roman"/>
                <w:szCs w:val="20"/>
              </w:rPr>
              <w:t>Scheme1: NW-configured via higher-layer (RRC) signalling</w:t>
            </w:r>
          </w:p>
          <w:p w:rsidR="000E56AD" w:rsidRPr="002B690E" w:rsidRDefault="000E56AD" w:rsidP="000E56AD">
            <w:pPr>
              <w:pStyle w:val="ListParagraph"/>
              <w:numPr>
                <w:ilvl w:val="1"/>
                <w:numId w:val="1038"/>
              </w:numPr>
              <w:snapToGrid w:val="0"/>
              <w:ind w:leftChars="0"/>
              <w:contextualSpacing/>
              <w:rPr>
                <w:rFonts w:ascii="Times New Roman" w:eastAsia="Malgun Gothic" w:hAnsi="Times New Roman"/>
                <w:szCs w:val="20"/>
              </w:rPr>
            </w:pPr>
            <w:r w:rsidRPr="002B690E">
              <w:rPr>
                <w:rFonts w:ascii="Times New Roman" w:eastAsia="Malgun Gothic" w:hAnsi="Times New Roman"/>
                <w:szCs w:val="20"/>
              </w:rPr>
              <w:t>Scheme1B: NW dynamic selection via MAC CE or A-CSI triggering (DCI)</w:t>
            </w:r>
          </w:p>
          <w:p w:rsidR="000E56AD" w:rsidRPr="002B690E" w:rsidRDefault="000E56AD" w:rsidP="000E56AD">
            <w:pPr>
              <w:pStyle w:val="ListParagraph"/>
              <w:numPr>
                <w:ilvl w:val="1"/>
                <w:numId w:val="1038"/>
              </w:numPr>
              <w:snapToGrid w:val="0"/>
              <w:ind w:leftChars="0"/>
              <w:contextualSpacing/>
              <w:rPr>
                <w:rFonts w:ascii="Times New Roman" w:eastAsia="Malgun Gothic" w:hAnsi="Times New Roman"/>
                <w:szCs w:val="20"/>
              </w:rPr>
            </w:pPr>
            <w:r w:rsidRPr="002B690E">
              <w:rPr>
                <w:rFonts w:ascii="Times New Roman" w:eastAsia="Malgun Gothic" w:hAnsi="Times New Roman"/>
                <w:szCs w:val="20"/>
              </w:rPr>
              <w:t xml:space="preserve">Scheme2: UE-selected, </w:t>
            </w:r>
            <w:r w:rsidRPr="002B690E">
              <w:rPr>
                <w:rFonts w:ascii="Times New Roman" w:eastAsia="Times New Roman" w:hAnsi="Times New Roman"/>
                <w:color w:val="000000"/>
                <w:szCs w:val="20"/>
                <w:lang w:eastAsia="zh-TW"/>
              </w:rPr>
              <w:t>the selection included in the phase offset report</w:t>
            </w:r>
          </w:p>
          <w:p w:rsidR="000E56AD" w:rsidRPr="002B690E" w:rsidRDefault="000E56AD" w:rsidP="000E56AD">
            <w:pPr>
              <w:pStyle w:val="ListParagraph"/>
              <w:numPr>
                <w:ilvl w:val="1"/>
                <w:numId w:val="1038"/>
              </w:numPr>
              <w:snapToGrid w:val="0"/>
              <w:ind w:leftChars="0"/>
              <w:contextualSpacing/>
              <w:rPr>
                <w:rFonts w:ascii="Times New Roman" w:eastAsia="Malgun Gothic" w:hAnsi="Times New Roman"/>
                <w:szCs w:val="20"/>
              </w:rPr>
            </w:pPr>
            <w:r w:rsidRPr="002B690E">
              <w:rPr>
                <w:rFonts w:ascii="Times New Roman" w:eastAsia="Malgun Gothic" w:hAnsi="Times New Roman"/>
                <w:szCs w:val="20"/>
              </w:rPr>
              <w:t>Scheme3: Fixed rule, e.g. the first out of the available port(s)</w:t>
            </w:r>
          </w:p>
          <w:p w:rsidR="000E56AD" w:rsidRPr="002B690E" w:rsidRDefault="000E56AD" w:rsidP="000E56AD">
            <w:pPr>
              <w:snapToGrid w:val="0"/>
              <w:rPr>
                <w:sz w:val="20"/>
                <w:szCs w:val="20"/>
              </w:rPr>
            </w:pPr>
            <w:r w:rsidRPr="002B690E">
              <w:rPr>
                <w:sz w:val="20"/>
                <w:szCs w:val="20"/>
              </w:rPr>
              <w:t>FFS:</w:t>
            </w:r>
          </w:p>
          <w:p w:rsidR="000E56AD" w:rsidRPr="002B690E" w:rsidRDefault="000E56AD" w:rsidP="000E56AD">
            <w:pPr>
              <w:pStyle w:val="ListParagraph"/>
              <w:numPr>
                <w:ilvl w:val="0"/>
                <w:numId w:val="1039"/>
              </w:numPr>
              <w:snapToGrid w:val="0"/>
              <w:ind w:leftChars="0"/>
              <w:contextualSpacing/>
              <w:rPr>
                <w:rFonts w:ascii="Times New Roman" w:hAnsi="Times New Roman"/>
                <w:szCs w:val="20"/>
              </w:rPr>
            </w:pPr>
            <w:r w:rsidRPr="002B690E">
              <w:rPr>
                <w:rFonts w:ascii="Times New Roman" w:hAnsi="Times New Roman"/>
                <w:szCs w:val="20"/>
              </w:rPr>
              <w:t>Whether/how to identify the transmission occasion of the Q=1 associated SRS resource to determine the reference UE antenna port in relation to the CSI request and/or SRS triggering</w:t>
            </w:r>
          </w:p>
          <w:p w:rsidR="000E56AD" w:rsidRPr="002B690E" w:rsidRDefault="000E56AD" w:rsidP="000E56AD">
            <w:pPr>
              <w:pStyle w:val="ListParagraph"/>
              <w:numPr>
                <w:ilvl w:val="0"/>
                <w:numId w:val="1039"/>
              </w:numPr>
              <w:snapToGrid w:val="0"/>
              <w:ind w:leftChars="0"/>
              <w:contextualSpacing/>
              <w:rPr>
                <w:rFonts w:ascii="Times New Roman" w:hAnsi="Times New Roman"/>
                <w:szCs w:val="20"/>
              </w:rPr>
            </w:pPr>
            <w:r w:rsidRPr="002B690E">
              <w:rPr>
                <w:rFonts w:ascii="Times New Roman" w:hAnsi="Times New Roman"/>
                <w:szCs w:val="20"/>
              </w:rPr>
              <w:t>The supported time-domain behaviour(s) for the associated SRS resource (periodic, semi-persistent, aperiodic)</w:t>
            </w:r>
          </w:p>
          <w:p w:rsidR="000E56AD" w:rsidRPr="002B690E" w:rsidRDefault="000E56AD" w:rsidP="000E56AD">
            <w:pPr>
              <w:pStyle w:val="ListParagraph"/>
              <w:numPr>
                <w:ilvl w:val="1"/>
                <w:numId w:val="1039"/>
              </w:numPr>
              <w:snapToGrid w:val="0"/>
              <w:ind w:leftChars="0"/>
              <w:contextualSpacing/>
              <w:rPr>
                <w:rFonts w:ascii="Times New Roman" w:hAnsi="Times New Roman"/>
                <w:szCs w:val="20"/>
              </w:rPr>
            </w:pPr>
            <w:r w:rsidRPr="002B690E">
              <w:rPr>
                <w:rFonts w:ascii="Times New Roman" w:hAnsi="Times New Roman"/>
                <w:szCs w:val="20"/>
              </w:rPr>
              <w:t>In case the NW configures the Q=1 associated SRS resource from an existing SP and/or AP SRS antenna switching resource configuration for DL CSI acquisition (which utilizes dynamic signalling), whether/how to identify the Q=1 associated SRS resource</w:t>
            </w:r>
          </w:p>
          <w:p w:rsidR="00B179E3" w:rsidRDefault="00B179E3" w:rsidP="00475974">
            <w:pPr>
              <w:pStyle w:val="0Maintext"/>
              <w:spacing w:after="120" w:afterAutospacing="0" w:line="240" w:lineRule="auto"/>
              <w:ind w:firstLine="0"/>
              <w:rPr>
                <w:lang w:val="en-US" w:eastAsia="zh-CN"/>
              </w:rPr>
            </w:pPr>
          </w:p>
        </w:tc>
      </w:tr>
    </w:tbl>
    <w:p w:rsidR="00B179E3" w:rsidRDefault="00B179E3" w:rsidP="00475974">
      <w:pPr>
        <w:pStyle w:val="0Maintext"/>
        <w:spacing w:after="120" w:afterAutospacing="0" w:line="240" w:lineRule="auto"/>
        <w:ind w:firstLine="0"/>
        <w:rPr>
          <w:lang w:val="en-US" w:eastAsia="zh-CN"/>
        </w:rPr>
      </w:pPr>
    </w:p>
    <w:p w:rsidR="004222D7" w:rsidRDefault="00B179E3" w:rsidP="00475974">
      <w:pPr>
        <w:pStyle w:val="0Maintext"/>
        <w:spacing w:after="120" w:afterAutospacing="0" w:line="240" w:lineRule="auto"/>
        <w:ind w:firstLine="0"/>
        <w:rPr>
          <w:lang w:val="en-US" w:eastAsia="zh-CN"/>
        </w:rPr>
      </w:pPr>
      <w:r>
        <w:rPr>
          <w:lang w:val="en-US" w:eastAsia="zh-CN"/>
        </w:rPr>
        <w:t xml:space="preserve">A first issue is the UE behavior to determine the UE antenna port based on the configured associated SRS port/resource. The UE may apply different antenna virtualization schemes for different transmission occasions for the SRS. The UE may even transmit different transmission occasions for the SRS based on different UE antenna ports. Further, for some semi-persistent SRS or aperiodic SRS, it is hard for the UE to select the ports if such SRS has not been activated or triggered. </w:t>
      </w:r>
      <w:r w:rsidR="004222D7">
        <w:rPr>
          <w:lang w:val="en-US" w:eastAsia="zh-CN"/>
        </w:rPr>
        <w:t xml:space="preserve">Therefore, currently for PUSCH, it is defined that the SRI indication for PUSCH is associated with the most recent transmission occasion of SRS before the PDCCH scheduling the PUSCH as shown in Figure </w:t>
      </w:r>
      <w:r w:rsidR="000E56AD">
        <w:rPr>
          <w:lang w:val="en-US" w:eastAsia="zh-CN"/>
        </w:rPr>
        <w:t>2</w:t>
      </w:r>
      <w:r w:rsidR="004222D7">
        <w:rPr>
          <w:lang w:val="en-US" w:eastAsia="zh-CN"/>
        </w:rPr>
        <w:t>.</w:t>
      </w:r>
    </w:p>
    <w:p w:rsidR="004222D7" w:rsidRDefault="004222D7" w:rsidP="004222D7">
      <w:pPr>
        <w:pStyle w:val="0Maintext"/>
        <w:spacing w:after="120" w:afterAutospacing="0" w:line="240" w:lineRule="auto"/>
        <w:ind w:firstLine="0"/>
        <w:jc w:val="center"/>
        <w:rPr>
          <w:lang w:val="en-US" w:eastAsia="zh-CN"/>
        </w:rPr>
      </w:pPr>
      <w:r w:rsidRPr="004222D7">
        <w:rPr>
          <w:noProof/>
          <w:lang w:val="en-US" w:eastAsia="zh-CN"/>
        </w:rPr>
        <w:lastRenderedPageBreak/>
        <w:drawing>
          <wp:inline distT="0" distB="0" distL="0" distR="0" wp14:anchorId="1348B6A9" wp14:editId="0C83A2E3">
            <wp:extent cx="5727700" cy="2929255"/>
            <wp:effectExtent l="0" t="0" r="0" b="0"/>
            <wp:docPr id="5660350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6035024" name=""/>
                    <pic:cNvPicPr/>
                  </pic:nvPicPr>
                  <pic:blipFill>
                    <a:blip r:embed="rId6"/>
                    <a:stretch>
                      <a:fillRect/>
                    </a:stretch>
                  </pic:blipFill>
                  <pic:spPr>
                    <a:xfrm>
                      <a:off x="0" y="0"/>
                      <a:ext cx="5727700" cy="2929255"/>
                    </a:xfrm>
                    <a:prstGeom prst="rect">
                      <a:avLst/>
                    </a:prstGeom>
                  </pic:spPr>
                </pic:pic>
              </a:graphicData>
            </a:graphic>
          </wp:inline>
        </w:drawing>
      </w:r>
    </w:p>
    <w:p w:rsidR="004222D7" w:rsidRPr="004222D7" w:rsidRDefault="004222D7" w:rsidP="004222D7">
      <w:pPr>
        <w:pStyle w:val="0Maintext"/>
        <w:spacing w:after="120" w:afterAutospacing="0" w:line="240" w:lineRule="auto"/>
        <w:ind w:firstLine="0"/>
        <w:jc w:val="center"/>
        <w:rPr>
          <w:b/>
          <w:bCs/>
          <w:lang w:val="en-US" w:eastAsia="zh-CN"/>
        </w:rPr>
      </w:pPr>
      <w:r w:rsidRPr="004222D7">
        <w:rPr>
          <w:b/>
          <w:bCs/>
          <w:lang w:val="en-US" w:eastAsia="zh-CN"/>
        </w:rPr>
        <w:t xml:space="preserve">Figure </w:t>
      </w:r>
      <w:r w:rsidR="000E56AD">
        <w:rPr>
          <w:b/>
          <w:bCs/>
          <w:lang w:val="en-US" w:eastAsia="zh-CN"/>
        </w:rPr>
        <w:t>2</w:t>
      </w:r>
      <w:r w:rsidRPr="004222D7">
        <w:rPr>
          <w:b/>
          <w:bCs/>
          <w:lang w:val="en-US" w:eastAsia="zh-CN"/>
        </w:rPr>
        <w:t>: Legacy timeline to determine the PUSCH port</w:t>
      </w:r>
    </w:p>
    <w:p w:rsidR="00B179E3" w:rsidRDefault="004222D7" w:rsidP="00475974">
      <w:pPr>
        <w:pStyle w:val="0Maintext"/>
        <w:spacing w:after="120" w:afterAutospacing="0" w:line="240" w:lineRule="auto"/>
        <w:ind w:firstLine="0"/>
        <w:rPr>
          <w:lang w:val="en-US" w:eastAsia="zh-CN"/>
        </w:rPr>
      </w:pPr>
      <w:r>
        <w:rPr>
          <w:lang w:val="en-US" w:eastAsia="zh-CN"/>
        </w:rPr>
        <w:t xml:space="preserve">Then similarly, for PO report, how to identify the UE port regarding different antenna virtualization schemes for different transmission occasions of associated SRS resource could be a potential issue as shown in Figure </w:t>
      </w:r>
      <w:r w:rsidR="000E56AD">
        <w:rPr>
          <w:lang w:val="en-US" w:eastAsia="zh-CN"/>
        </w:rPr>
        <w:t>3</w:t>
      </w:r>
      <w:r>
        <w:rPr>
          <w:lang w:val="en-US" w:eastAsia="zh-CN"/>
        </w:rPr>
        <w:t>. S</w:t>
      </w:r>
      <w:r w:rsidR="00B179E3">
        <w:rPr>
          <w:lang w:val="en-US" w:eastAsia="zh-CN"/>
        </w:rPr>
        <w:t>imilar to PUSCH transmission, one possible way is that the UE may determine the UE antenna port for the PO measurement based on the associated SRS port for most recent associated SRS resource before the PDCCH triggering the PO report.</w:t>
      </w:r>
    </w:p>
    <w:p w:rsidR="004222D7" w:rsidRDefault="004222D7" w:rsidP="004222D7">
      <w:pPr>
        <w:pStyle w:val="0Maintext"/>
        <w:spacing w:after="120" w:afterAutospacing="0" w:line="240" w:lineRule="auto"/>
        <w:ind w:firstLine="0"/>
        <w:jc w:val="center"/>
        <w:rPr>
          <w:lang w:val="en-US" w:eastAsia="zh-CN"/>
        </w:rPr>
      </w:pPr>
      <w:r w:rsidRPr="004222D7">
        <w:rPr>
          <w:noProof/>
          <w:lang w:val="en-US" w:eastAsia="zh-CN"/>
        </w:rPr>
        <w:drawing>
          <wp:inline distT="0" distB="0" distL="0" distR="0" wp14:anchorId="2BDA84FF" wp14:editId="54835286">
            <wp:extent cx="5727700" cy="3049905"/>
            <wp:effectExtent l="0" t="0" r="0" b="0"/>
            <wp:docPr id="5868885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6888538" name=""/>
                    <pic:cNvPicPr/>
                  </pic:nvPicPr>
                  <pic:blipFill>
                    <a:blip r:embed="rId7"/>
                    <a:stretch>
                      <a:fillRect/>
                    </a:stretch>
                  </pic:blipFill>
                  <pic:spPr>
                    <a:xfrm>
                      <a:off x="0" y="0"/>
                      <a:ext cx="5727700" cy="3049905"/>
                    </a:xfrm>
                    <a:prstGeom prst="rect">
                      <a:avLst/>
                    </a:prstGeom>
                  </pic:spPr>
                </pic:pic>
              </a:graphicData>
            </a:graphic>
          </wp:inline>
        </w:drawing>
      </w:r>
    </w:p>
    <w:p w:rsidR="004222D7" w:rsidRPr="004222D7" w:rsidRDefault="004222D7" w:rsidP="004222D7">
      <w:pPr>
        <w:pStyle w:val="0Maintext"/>
        <w:spacing w:after="120" w:afterAutospacing="0" w:line="240" w:lineRule="auto"/>
        <w:ind w:firstLine="0"/>
        <w:jc w:val="center"/>
        <w:rPr>
          <w:b/>
          <w:bCs/>
          <w:lang w:val="en-US" w:eastAsia="zh-CN"/>
        </w:rPr>
      </w:pPr>
      <w:r w:rsidRPr="004222D7">
        <w:rPr>
          <w:b/>
          <w:bCs/>
          <w:lang w:val="en-US" w:eastAsia="zh-CN"/>
        </w:rPr>
        <w:t xml:space="preserve">Figure </w:t>
      </w:r>
      <w:r w:rsidR="000E56AD">
        <w:rPr>
          <w:b/>
          <w:bCs/>
          <w:lang w:val="en-US" w:eastAsia="zh-CN"/>
        </w:rPr>
        <w:t>3</w:t>
      </w:r>
      <w:r w:rsidRPr="004222D7">
        <w:rPr>
          <w:b/>
          <w:bCs/>
          <w:lang w:val="en-US" w:eastAsia="zh-CN"/>
        </w:rPr>
        <w:t>: A potential issue to determine the UE port with regard to different antenna virtualization schemes for different transmission occasions of associated SRS resource</w:t>
      </w:r>
    </w:p>
    <w:p w:rsidR="00B179E3" w:rsidRPr="00B179E3" w:rsidRDefault="00B179E3" w:rsidP="00475974">
      <w:pPr>
        <w:pStyle w:val="0Maintext"/>
        <w:spacing w:after="120" w:afterAutospacing="0" w:line="240" w:lineRule="auto"/>
        <w:ind w:firstLine="0"/>
        <w:rPr>
          <w:b/>
          <w:bCs/>
          <w:i/>
          <w:iCs/>
          <w:lang w:val="en-US" w:eastAsia="zh-CN"/>
        </w:rPr>
      </w:pPr>
      <w:r w:rsidRPr="00B179E3">
        <w:rPr>
          <w:b/>
          <w:bCs/>
          <w:i/>
          <w:iCs/>
          <w:lang w:val="en-US" w:eastAsia="zh-CN"/>
        </w:rPr>
        <w:t xml:space="preserve">Proposal </w:t>
      </w:r>
      <w:r w:rsidR="000E56AD">
        <w:rPr>
          <w:b/>
          <w:bCs/>
          <w:i/>
          <w:iCs/>
          <w:lang w:val="en-US" w:eastAsia="zh-CN"/>
        </w:rPr>
        <w:t>8</w:t>
      </w:r>
      <w:r w:rsidRPr="00B179E3">
        <w:rPr>
          <w:b/>
          <w:bCs/>
          <w:i/>
          <w:iCs/>
          <w:lang w:val="en-US" w:eastAsia="zh-CN"/>
        </w:rPr>
        <w:t xml:space="preserve">: Support the UE to determine the UE antenna port for the PO measurement based on the associated SRS port for most recent </w:t>
      </w:r>
      <w:r>
        <w:rPr>
          <w:b/>
          <w:bCs/>
          <w:i/>
          <w:iCs/>
          <w:lang w:val="en-US" w:eastAsia="zh-CN"/>
        </w:rPr>
        <w:t xml:space="preserve">transmission occcasion of the </w:t>
      </w:r>
      <w:r w:rsidRPr="00B179E3">
        <w:rPr>
          <w:b/>
          <w:bCs/>
          <w:i/>
          <w:iCs/>
          <w:lang w:val="en-US" w:eastAsia="zh-CN"/>
        </w:rPr>
        <w:t>associated SRS resource before the PDCCH triggering the PO report.</w:t>
      </w:r>
    </w:p>
    <w:p w:rsidR="000E56AD" w:rsidRDefault="00B179E3" w:rsidP="00475974">
      <w:pPr>
        <w:pStyle w:val="0Maintext"/>
        <w:spacing w:after="120" w:afterAutospacing="0" w:line="240" w:lineRule="auto"/>
        <w:ind w:firstLine="0"/>
        <w:rPr>
          <w:lang w:val="en-US" w:eastAsia="zh-CN"/>
        </w:rPr>
      </w:pPr>
      <w:r>
        <w:rPr>
          <w:lang w:val="en-US" w:eastAsia="zh-CN"/>
        </w:rPr>
        <w:t xml:space="preserve">A second issue is </w:t>
      </w:r>
      <w:r w:rsidR="000E56AD">
        <w:rPr>
          <w:lang w:val="en-US" w:eastAsia="zh-CN"/>
        </w:rPr>
        <w:t>that when the NW configures multiple SRS resource sets, how to identify the associated SRS resource and associated SRS port. There can be the following possible cases:</w:t>
      </w:r>
    </w:p>
    <w:p w:rsidR="000E56AD" w:rsidRDefault="000E56AD" w:rsidP="000E56AD">
      <w:pPr>
        <w:pStyle w:val="0Maintext"/>
        <w:numPr>
          <w:ilvl w:val="0"/>
          <w:numId w:val="1047"/>
        </w:numPr>
        <w:spacing w:after="120" w:afterAutospacing="0" w:line="240" w:lineRule="auto"/>
        <w:rPr>
          <w:lang w:val="en-US" w:eastAsia="zh-CN"/>
        </w:rPr>
      </w:pPr>
      <w:r>
        <w:rPr>
          <w:lang w:val="en-US" w:eastAsia="zh-CN"/>
        </w:rPr>
        <w:t>Case 1: NW configures one periodic SRS resource set and one aperiodic SRS resource set</w:t>
      </w:r>
    </w:p>
    <w:p w:rsidR="000E56AD" w:rsidRDefault="000E56AD" w:rsidP="000E56AD">
      <w:pPr>
        <w:pStyle w:val="0Maintext"/>
        <w:numPr>
          <w:ilvl w:val="0"/>
          <w:numId w:val="1047"/>
        </w:numPr>
        <w:spacing w:after="120" w:afterAutospacing="0" w:line="240" w:lineRule="auto"/>
        <w:rPr>
          <w:lang w:val="en-US" w:eastAsia="zh-CN"/>
        </w:rPr>
      </w:pPr>
      <w:r>
        <w:rPr>
          <w:lang w:val="en-US" w:eastAsia="zh-CN"/>
        </w:rPr>
        <w:t>Case 2: NW configures two semi-persistent SRS resource sets and activates one of them</w:t>
      </w:r>
    </w:p>
    <w:p w:rsidR="000E56AD" w:rsidRPr="00396F46" w:rsidRDefault="000E56AD" w:rsidP="00396F46">
      <w:pPr>
        <w:pStyle w:val="0Maintext"/>
        <w:numPr>
          <w:ilvl w:val="0"/>
          <w:numId w:val="1047"/>
        </w:numPr>
        <w:spacing w:after="120" w:afterAutospacing="0" w:line="240" w:lineRule="auto"/>
        <w:rPr>
          <w:lang w:val="en-US" w:eastAsia="zh-CN"/>
        </w:rPr>
      </w:pPr>
      <w:r>
        <w:rPr>
          <w:lang w:val="en-US" w:eastAsia="zh-CN"/>
        </w:rPr>
        <w:lastRenderedPageBreak/>
        <w:t>Case 3: NW configures two aperiodic SRS resource sets</w:t>
      </w:r>
    </w:p>
    <w:p w:rsidR="000E56AD" w:rsidRDefault="000E56AD" w:rsidP="00475974">
      <w:pPr>
        <w:pStyle w:val="0Maintext"/>
        <w:spacing w:after="120" w:afterAutospacing="0" w:line="240" w:lineRule="auto"/>
        <w:ind w:firstLine="0"/>
        <w:rPr>
          <w:lang w:val="en-US" w:eastAsia="zh-CN"/>
        </w:rPr>
      </w:pPr>
      <w:r>
        <w:rPr>
          <w:lang w:val="en-US" w:eastAsia="zh-CN"/>
        </w:rPr>
        <w:t xml:space="preserve">For case 1 and case 2 above, a simple way is to select the </w:t>
      </w:r>
      <w:r w:rsidR="00396F46">
        <w:rPr>
          <w:lang w:val="en-US" w:eastAsia="zh-CN"/>
        </w:rPr>
        <w:t xml:space="preserve">associated </w:t>
      </w:r>
      <w:r>
        <w:rPr>
          <w:lang w:val="en-US" w:eastAsia="zh-CN"/>
        </w:rPr>
        <w:t xml:space="preserve">SRS resource set based on the time-domain behavior and activation status. For case 3, </w:t>
      </w:r>
      <w:r w:rsidR="00396F46">
        <w:rPr>
          <w:lang w:val="en-US" w:eastAsia="zh-CN"/>
        </w:rPr>
        <w:t>a simple way is to select the associated SRS resource set based on the SRS resource set ID.</w:t>
      </w:r>
    </w:p>
    <w:p w:rsidR="00396F46" w:rsidRPr="00396F46" w:rsidRDefault="00396F46" w:rsidP="00475974">
      <w:pPr>
        <w:pStyle w:val="0Maintext"/>
        <w:spacing w:after="120" w:afterAutospacing="0" w:line="240" w:lineRule="auto"/>
        <w:ind w:firstLine="0"/>
        <w:rPr>
          <w:b/>
          <w:bCs/>
          <w:i/>
          <w:iCs/>
          <w:lang w:val="en-US" w:eastAsia="zh-CN"/>
        </w:rPr>
      </w:pPr>
      <w:r w:rsidRPr="00396F46">
        <w:rPr>
          <w:b/>
          <w:bCs/>
          <w:i/>
          <w:iCs/>
          <w:lang w:val="en-US" w:eastAsia="zh-CN"/>
        </w:rPr>
        <w:t xml:space="preserve">Proposal 9: Support the UE to select the associated SRS resource </w:t>
      </w:r>
      <w:r w:rsidR="00577F1E">
        <w:rPr>
          <w:b/>
          <w:bCs/>
          <w:i/>
          <w:iCs/>
          <w:lang w:val="en-US" w:eastAsia="zh-CN"/>
        </w:rPr>
        <w:t xml:space="preserve">set </w:t>
      </w:r>
      <w:r w:rsidRPr="00396F46">
        <w:rPr>
          <w:b/>
          <w:bCs/>
          <w:i/>
          <w:iCs/>
          <w:lang w:val="en-US" w:eastAsia="zh-CN"/>
        </w:rPr>
        <w:t>for PO report as follows</w:t>
      </w:r>
    </w:p>
    <w:p w:rsidR="00396F46" w:rsidRPr="00396F46" w:rsidRDefault="00396F46" w:rsidP="00396F46">
      <w:pPr>
        <w:pStyle w:val="0Maintext"/>
        <w:numPr>
          <w:ilvl w:val="0"/>
          <w:numId w:val="1048"/>
        </w:numPr>
        <w:spacing w:after="120" w:afterAutospacing="0" w:line="240" w:lineRule="auto"/>
        <w:rPr>
          <w:b/>
          <w:bCs/>
          <w:i/>
          <w:iCs/>
          <w:lang w:val="en-US" w:eastAsia="zh-CN"/>
        </w:rPr>
      </w:pPr>
      <w:r w:rsidRPr="00396F46">
        <w:rPr>
          <w:b/>
          <w:bCs/>
          <w:i/>
          <w:iCs/>
          <w:lang w:val="en-US" w:eastAsia="zh-CN"/>
        </w:rPr>
        <w:t>When one periodic SRS resource set and one aperiodic SRS resource set are configured, UE selects the associated SRS resource based on the periodic SRS resource set</w:t>
      </w:r>
    </w:p>
    <w:p w:rsidR="00396F46" w:rsidRPr="00396F46" w:rsidRDefault="00396F46" w:rsidP="00396F46">
      <w:pPr>
        <w:pStyle w:val="0Maintext"/>
        <w:numPr>
          <w:ilvl w:val="0"/>
          <w:numId w:val="1048"/>
        </w:numPr>
        <w:spacing w:after="120" w:afterAutospacing="0" w:line="240" w:lineRule="auto"/>
        <w:rPr>
          <w:b/>
          <w:bCs/>
          <w:i/>
          <w:iCs/>
          <w:lang w:val="en-US" w:eastAsia="zh-CN"/>
        </w:rPr>
      </w:pPr>
      <w:r w:rsidRPr="00396F46">
        <w:rPr>
          <w:b/>
          <w:bCs/>
          <w:i/>
          <w:iCs/>
          <w:lang w:val="en-US" w:eastAsia="zh-CN"/>
        </w:rPr>
        <w:t>When two semi-persistent SRS resource sets are configured, UE selects the associated SRS resource based on the activated SRS resource set</w:t>
      </w:r>
    </w:p>
    <w:p w:rsidR="00396F46" w:rsidRPr="00396F46" w:rsidRDefault="00396F46" w:rsidP="00396F46">
      <w:pPr>
        <w:pStyle w:val="0Maintext"/>
        <w:numPr>
          <w:ilvl w:val="0"/>
          <w:numId w:val="1048"/>
        </w:numPr>
        <w:spacing w:after="120" w:afterAutospacing="0" w:line="240" w:lineRule="auto"/>
        <w:rPr>
          <w:b/>
          <w:bCs/>
          <w:i/>
          <w:iCs/>
          <w:lang w:val="en-US" w:eastAsia="zh-CN"/>
        </w:rPr>
      </w:pPr>
      <w:r w:rsidRPr="00396F46">
        <w:rPr>
          <w:b/>
          <w:bCs/>
          <w:i/>
          <w:iCs/>
          <w:lang w:val="en-US" w:eastAsia="zh-CN"/>
        </w:rPr>
        <w:t>When two aperiodic SRS resource sets are configured, UE selects the associated SRS resource based on the SRS resource set with lower set ID</w:t>
      </w:r>
    </w:p>
    <w:p w:rsidR="005E2CF1" w:rsidRDefault="005E2CF1" w:rsidP="00475974">
      <w:pPr>
        <w:pStyle w:val="0Maintext"/>
        <w:spacing w:after="120" w:afterAutospacing="0" w:line="240" w:lineRule="auto"/>
        <w:ind w:firstLine="0"/>
        <w:rPr>
          <w:lang w:val="en-US" w:eastAsia="zh-CN"/>
        </w:rPr>
      </w:pPr>
    </w:p>
    <w:p w:rsidR="000205DD" w:rsidRDefault="000205DD" w:rsidP="000205DD">
      <w:pPr>
        <w:pStyle w:val="Heading2"/>
      </w:pPr>
      <w:r>
        <w:t>Delay offset impact on PO measurement</w:t>
      </w:r>
    </w:p>
    <w:p w:rsidR="000205DD" w:rsidRDefault="000205DD" w:rsidP="00475974">
      <w:pPr>
        <w:pStyle w:val="0Maintext"/>
        <w:spacing w:after="120" w:afterAutospacing="0" w:line="240" w:lineRule="auto"/>
        <w:ind w:firstLine="0"/>
        <w:rPr>
          <w:lang w:val="en-US" w:eastAsia="zh-CN"/>
        </w:rPr>
      </w:pPr>
      <w:r>
        <w:rPr>
          <w:lang w:val="en-US" w:eastAsia="zh-CN"/>
        </w:rPr>
        <w:t xml:space="preserve">The delay offset (DO) could also cause phase shift in frequency domain, where the phase shift could be different for different subcarriers. Then one possible way is that the NW can perform the DO pre-compensation to transmit the CSI-RS resources for PO measurement. In this case, the UE only needs to perform the PO measurement. Another possible way is that the NW does not perform the DO pre-compensation for the CSI-RS resources for PO measurement. Instead, the UE performs the DO measurement and compensation first. Then it calculates the PO based on the CSI-RS resources for PO measurement after DO compensation. Therefore, with regard to different UE behaviors and UE complexity, the NW can inform the UE whether it transmits the CSI-RS resources for PO measurement with DO pre-compensation. </w:t>
      </w:r>
    </w:p>
    <w:p w:rsidR="000205DD" w:rsidRDefault="000205DD" w:rsidP="00475974">
      <w:pPr>
        <w:pStyle w:val="0Maintext"/>
        <w:spacing w:after="120" w:afterAutospacing="0" w:line="240" w:lineRule="auto"/>
        <w:ind w:firstLine="0"/>
        <w:rPr>
          <w:b/>
          <w:bCs/>
          <w:i/>
          <w:iCs/>
          <w:lang w:val="en-US" w:eastAsia="zh-CN"/>
        </w:rPr>
      </w:pPr>
      <w:r w:rsidRPr="000205DD">
        <w:rPr>
          <w:b/>
          <w:bCs/>
          <w:i/>
          <w:iCs/>
          <w:lang w:val="en-US" w:eastAsia="zh-CN"/>
        </w:rPr>
        <w:t>Proposal 1</w:t>
      </w:r>
      <w:r w:rsidR="001B1771">
        <w:rPr>
          <w:b/>
          <w:bCs/>
          <w:i/>
          <w:iCs/>
          <w:lang w:val="en-US" w:eastAsia="zh-CN"/>
        </w:rPr>
        <w:t>0</w:t>
      </w:r>
      <w:r w:rsidRPr="000205DD">
        <w:rPr>
          <w:b/>
          <w:bCs/>
          <w:i/>
          <w:iCs/>
          <w:lang w:val="en-US" w:eastAsia="zh-CN"/>
        </w:rPr>
        <w:t>: Support the NW to inform UE whether it transmits the CSI-RS resources for PO measurement with DO pre-compensation.</w:t>
      </w:r>
    </w:p>
    <w:p w:rsidR="00396F46" w:rsidRDefault="00396F46" w:rsidP="00475974">
      <w:pPr>
        <w:pStyle w:val="0Maintext"/>
        <w:spacing w:after="120" w:afterAutospacing="0" w:line="240" w:lineRule="auto"/>
        <w:ind w:firstLine="0"/>
        <w:rPr>
          <w:b/>
          <w:bCs/>
          <w:i/>
          <w:iCs/>
          <w:lang w:val="en-US" w:eastAsia="zh-CN"/>
        </w:rPr>
      </w:pPr>
    </w:p>
    <w:p w:rsidR="001B1771" w:rsidRPr="001B1771" w:rsidRDefault="001B1771" w:rsidP="001B1771">
      <w:pPr>
        <w:pStyle w:val="Heading2"/>
      </w:pPr>
      <w:r w:rsidRPr="001B1771">
        <w:t>Linked DO and CJT-CSI report</w:t>
      </w:r>
    </w:p>
    <w:p w:rsidR="001B1771" w:rsidRDefault="001B1771" w:rsidP="00475974">
      <w:pPr>
        <w:pStyle w:val="0Maintext"/>
        <w:spacing w:after="120" w:afterAutospacing="0" w:line="240" w:lineRule="auto"/>
        <w:ind w:firstLine="0"/>
        <w:rPr>
          <w:lang w:val="en-US" w:eastAsia="zh-CN"/>
        </w:rPr>
      </w:pPr>
      <w:r>
        <w:rPr>
          <w:lang w:val="en-US" w:eastAsia="zh-CN"/>
        </w:rPr>
        <w:t>In RAN1 #118 meeting, the following on linked DO and CJT-CSI report have been agreed.</w:t>
      </w:r>
    </w:p>
    <w:tbl>
      <w:tblPr>
        <w:tblStyle w:val="TableGrid"/>
        <w:tblW w:w="0" w:type="auto"/>
        <w:tblLook w:val="04A0" w:firstRow="1" w:lastRow="0" w:firstColumn="1" w:lastColumn="0" w:noHBand="0" w:noVBand="1"/>
      </w:tblPr>
      <w:tblGrid>
        <w:gridCol w:w="9010"/>
      </w:tblGrid>
      <w:tr w:rsidR="001B1771" w:rsidTr="001B1771">
        <w:tc>
          <w:tcPr>
            <w:tcW w:w="9010" w:type="dxa"/>
          </w:tcPr>
          <w:p w:rsidR="001B1771" w:rsidRPr="002B690E" w:rsidRDefault="001B1771" w:rsidP="001B1771">
            <w:pPr>
              <w:rPr>
                <w:b/>
                <w:bCs/>
                <w:sz w:val="20"/>
                <w:szCs w:val="20"/>
              </w:rPr>
            </w:pPr>
            <w:r w:rsidRPr="002B690E">
              <w:rPr>
                <w:b/>
                <w:bCs/>
                <w:sz w:val="20"/>
                <w:szCs w:val="20"/>
                <w:highlight w:val="green"/>
              </w:rPr>
              <w:t>Agreement</w:t>
            </w:r>
          </w:p>
          <w:p w:rsidR="001B1771" w:rsidRPr="002B690E" w:rsidRDefault="001B1771" w:rsidP="001B1771">
            <w:pPr>
              <w:snapToGrid w:val="0"/>
              <w:rPr>
                <w:strike/>
                <w:sz w:val="20"/>
                <w:szCs w:val="20"/>
              </w:rPr>
            </w:pPr>
            <w:r w:rsidRPr="002B690E">
              <w:rPr>
                <w:rFonts w:eastAsia="Calibri"/>
                <w:sz w:val="20"/>
                <w:szCs w:val="20"/>
              </w:rPr>
              <w:t xml:space="preserve">For the Rel-19 aperiodic standalone CJT calibration (CJTC) reporting, to facilitate UE-specific </w:t>
            </w:r>
            <w:r w:rsidRPr="002B690E">
              <w:rPr>
                <w:sz w:val="20"/>
                <w:szCs w:val="20"/>
              </w:rPr>
              <w:t xml:space="preserve">delay offset pre-compensation on PDSCH by the NW, support configuring a UE (via RRC signaling) to perform PMI calculation for the Rel-18 eType-II CJT CSI report assuming pre-compensation using the UE-reported delay offset (when ReportQuantity is ‘cjtc-Dd’). </w:t>
            </w:r>
          </w:p>
          <w:p w:rsidR="001B1771" w:rsidRPr="002B690E" w:rsidRDefault="001B1771" w:rsidP="001B1771">
            <w:pPr>
              <w:numPr>
                <w:ilvl w:val="0"/>
                <w:numId w:val="983"/>
              </w:numPr>
              <w:snapToGrid w:val="0"/>
              <w:rPr>
                <w:rFonts w:eastAsia="SimSun"/>
                <w:sz w:val="20"/>
                <w:szCs w:val="20"/>
              </w:rPr>
            </w:pPr>
            <w:r w:rsidRPr="002B690E">
              <w:rPr>
                <w:rFonts w:eastAsia="SimSun"/>
                <w:sz w:val="20"/>
                <w:szCs w:val="20"/>
              </w:rPr>
              <w:t>The two separately configured reports (i.e. Rel-18 eType-II CJT CSI report and the CJTC delay offset report) can be separately or jointly triggered [and carried on a same PUSCH (hence on a same slot)] following legacy joint triggering mechanism</w:t>
            </w:r>
          </w:p>
          <w:p w:rsidR="001B1771" w:rsidRPr="002B690E" w:rsidRDefault="001B1771" w:rsidP="001B1771">
            <w:pPr>
              <w:numPr>
                <w:ilvl w:val="1"/>
                <w:numId w:val="983"/>
              </w:numPr>
              <w:snapToGrid w:val="0"/>
              <w:rPr>
                <w:rFonts w:eastAsia="SimSun"/>
                <w:sz w:val="20"/>
                <w:szCs w:val="20"/>
              </w:rPr>
            </w:pPr>
            <w:r w:rsidRPr="002B690E">
              <w:rPr>
                <w:rFonts w:eastAsia="SimSun"/>
                <w:bCs/>
                <w:sz w:val="20"/>
                <w:szCs w:val="20"/>
              </w:rPr>
              <w:t>(</w:t>
            </w:r>
            <w:r w:rsidRPr="002B690E">
              <w:rPr>
                <w:rFonts w:eastAsia="SimSun"/>
                <w:bCs/>
                <w:sz w:val="20"/>
                <w:szCs w:val="20"/>
                <w:highlight w:val="darkYellow"/>
              </w:rPr>
              <w:t>Working Assumption</w:t>
            </w:r>
            <w:r w:rsidRPr="002B690E">
              <w:rPr>
                <w:rFonts w:eastAsia="SimSun"/>
                <w:bCs/>
                <w:sz w:val="20"/>
                <w:szCs w:val="20"/>
              </w:rPr>
              <w:t>) When separately triggered, the delay offset value to be compensated is the latest reported delay offset (DO) whose reporting instance’s last symbol is before the first symbol of DCI triggering of the CJT CSI reporting</w:t>
            </w:r>
          </w:p>
          <w:p w:rsidR="001B1771" w:rsidRPr="002B690E" w:rsidRDefault="001B1771" w:rsidP="001B1771">
            <w:pPr>
              <w:numPr>
                <w:ilvl w:val="2"/>
                <w:numId w:val="983"/>
              </w:numPr>
              <w:snapToGrid w:val="0"/>
              <w:rPr>
                <w:rFonts w:eastAsia="SimSun"/>
                <w:sz w:val="20"/>
                <w:szCs w:val="20"/>
              </w:rPr>
            </w:pPr>
            <w:r w:rsidRPr="002B690E">
              <w:rPr>
                <w:rFonts w:eastAsia="SimSun"/>
                <w:sz w:val="20"/>
                <w:szCs w:val="20"/>
              </w:rPr>
              <w:t>FFS: whether some expiration time interval is needed</w:t>
            </w:r>
          </w:p>
          <w:p w:rsidR="001B1771" w:rsidRPr="002B690E" w:rsidRDefault="001B1771" w:rsidP="001B1771">
            <w:pPr>
              <w:numPr>
                <w:ilvl w:val="1"/>
                <w:numId w:val="983"/>
              </w:numPr>
              <w:snapToGrid w:val="0"/>
              <w:rPr>
                <w:rFonts w:eastAsia="SimSun"/>
                <w:sz w:val="20"/>
                <w:szCs w:val="20"/>
              </w:rPr>
            </w:pPr>
            <w:r w:rsidRPr="002B690E">
              <w:rPr>
                <w:rFonts w:eastAsia="SimSun"/>
                <w:bCs/>
                <w:sz w:val="20"/>
                <w:szCs w:val="20"/>
              </w:rPr>
              <w:t>(</w:t>
            </w:r>
            <w:r w:rsidRPr="002B690E">
              <w:rPr>
                <w:rFonts w:eastAsia="SimSun"/>
                <w:bCs/>
                <w:sz w:val="20"/>
                <w:szCs w:val="20"/>
                <w:highlight w:val="darkYellow"/>
              </w:rPr>
              <w:t>Working Assumption</w:t>
            </w:r>
            <w:r w:rsidRPr="002B690E">
              <w:rPr>
                <w:rFonts w:eastAsia="SimSun"/>
                <w:bCs/>
                <w:sz w:val="20"/>
                <w:szCs w:val="20"/>
              </w:rPr>
              <w:t xml:space="preserve">) When jointly triggered, the delay offset value to be compensated is the reported delay offset (DO) in the same reporting instance </w:t>
            </w:r>
          </w:p>
          <w:p w:rsidR="001B1771" w:rsidRPr="002B690E" w:rsidRDefault="001B1771" w:rsidP="001B1771">
            <w:pPr>
              <w:snapToGrid w:val="0"/>
              <w:rPr>
                <w:sz w:val="20"/>
                <w:szCs w:val="20"/>
              </w:rPr>
            </w:pPr>
            <w:r w:rsidRPr="002B690E">
              <w:rPr>
                <w:sz w:val="20"/>
                <w:szCs w:val="20"/>
              </w:rPr>
              <w:t>FFS: NW indicates the delay offset value to be compensated for the Rel-18 eType-II CJT CSI report</w:t>
            </w:r>
          </w:p>
          <w:p w:rsidR="001B1771" w:rsidRPr="002B690E" w:rsidRDefault="001B1771" w:rsidP="001B1771">
            <w:pPr>
              <w:snapToGrid w:val="0"/>
              <w:rPr>
                <w:sz w:val="20"/>
                <w:szCs w:val="20"/>
              </w:rPr>
            </w:pPr>
            <w:r w:rsidRPr="002B690E">
              <w:rPr>
                <w:sz w:val="20"/>
                <w:szCs w:val="20"/>
              </w:rPr>
              <w:t xml:space="preserve">FFS: Whether only AP-CSI-RS, or any type of CSI-RS (P, SP, or AP) can be configured as the CMR for the Rel-18 eType-II CJT reporting </w:t>
            </w:r>
          </w:p>
          <w:p w:rsidR="001B1771" w:rsidRPr="002B690E" w:rsidRDefault="001B1771" w:rsidP="001B1771">
            <w:pPr>
              <w:snapToGrid w:val="0"/>
              <w:rPr>
                <w:sz w:val="20"/>
                <w:szCs w:val="20"/>
              </w:rPr>
            </w:pPr>
            <w:r w:rsidRPr="002B690E">
              <w:rPr>
                <w:sz w:val="20"/>
                <w:szCs w:val="20"/>
              </w:rPr>
              <w:t xml:space="preserve">FFS: Support for SP-CSI for CJTC report </w:t>
            </w:r>
          </w:p>
          <w:p w:rsidR="001B1771" w:rsidRPr="002B690E" w:rsidRDefault="001B1771" w:rsidP="001B1771">
            <w:pPr>
              <w:snapToGrid w:val="0"/>
              <w:rPr>
                <w:sz w:val="20"/>
                <w:szCs w:val="20"/>
              </w:rPr>
            </w:pPr>
            <w:r w:rsidRPr="002B690E">
              <w:rPr>
                <w:sz w:val="20"/>
                <w:szCs w:val="20"/>
              </w:rPr>
              <w:t>FFS: Whether this is also applicable for Rel-19 Type-I MP codebook</w:t>
            </w:r>
          </w:p>
          <w:p w:rsidR="001B1771" w:rsidRPr="002B690E" w:rsidRDefault="001B1771" w:rsidP="001B1771">
            <w:pPr>
              <w:snapToGrid w:val="0"/>
              <w:rPr>
                <w:sz w:val="20"/>
                <w:szCs w:val="20"/>
              </w:rPr>
            </w:pPr>
            <w:r w:rsidRPr="002B690E">
              <w:rPr>
                <w:sz w:val="20"/>
                <w:szCs w:val="20"/>
              </w:rPr>
              <w:t>The above only applies when the CMRs do not share common QCL source for average delay indication</w:t>
            </w:r>
          </w:p>
          <w:p w:rsidR="001B1771" w:rsidRPr="002B690E" w:rsidRDefault="001B1771" w:rsidP="001B1771">
            <w:pPr>
              <w:snapToGrid w:val="0"/>
              <w:rPr>
                <w:sz w:val="20"/>
                <w:szCs w:val="20"/>
              </w:rPr>
            </w:pPr>
            <w:r w:rsidRPr="002B690E">
              <w:rPr>
                <w:sz w:val="20"/>
                <w:szCs w:val="20"/>
              </w:rPr>
              <w:t>The above is UE optional feature.</w:t>
            </w:r>
          </w:p>
          <w:p w:rsidR="001B1771" w:rsidRDefault="001B1771" w:rsidP="00475974">
            <w:pPr>
              <w:pStyle w:val="0Maintext"/>
              <w:spacing w:after="120" w:afterAutospacing="0" w:line="240" w:lineRule="auto"/>
              <w:ind w:firstLine="0"/>
              <w:rPr>
                <w:lang w:val="en-US" w:eastAsia="zh-CN"/>
              </w:rPr>
            </w:pPr>
          </w:p>
        </w:tc>
      </w:tr>
    </w:tbl>
    <w:p w:rsidR="001B1771" w:rsidRDefault="001B1771" w:rsidP="00475974">
      <w:pPr>
        <w:pStyle w:val="0Maintext"/>
        <w:spacing w:after="120" w:afterAutospacing="0" w:line="240" w:lineRule="auto"/>
        <w:ind w:firstLine="0"/>
        <w:rPr>
          <w:lang w:val="en-US" w:eastAsia="zh-CN"/>
        </w:rPr>
      </w:pPr>
    </w:p>
    <w:p w:rsidR="001B1771" w:rsidRDefault="001B1771" w:rsidP="00475974">
      <w:pPr>
        <w:pStyle w:val="0Maintext"/>
        <w:spacing w:after="120" w:afterAutospacing="0" w:line="240" w:lineRule="auto"/>
        <w:ind w:firstLine="0"/>
        <w:rPr>
          <w:lang w:val="en-US" w:eastAsia="zh-CN"/>
        </w:rPr>
      </w:pPr>
      <w:r>
        <w:rPr>
          <w:lang w:val="en-US" w:eastAsia="zh-CN"/>
        </w:rPr>
        <w:t>There are several open issues for the linked DO and CJT-CSI report.</w:t>
      </w:r>
    </w:p>
    <w:p w:rsidR="001B1771" w:rsidRDefault="001B1771" w:rsidP="00475974">
      <w:pPr>
        <w:pStyle w:val="0Maintext"/>
        <w:spacing w:after="120" w:afterAutospacing="0" w:line="240" w:lineRule="auto"/>
        <w:ind w:firstLine="0"/>
        <w:rPr>
          <w:lang w:val="en-US" w:eastAsia="zh-CN"/>
        </w:rPr>
      </w:pPr>
      <w:r>
        <w:rPr>
          <w:lang w:val="en-US" w:eastAsia="zh-CN"/>
        </w:rPr>
        <w:lastRenderedPageBreak/>
        <w:t>A first issue is to identify the DO report for a CJT-CSI calculation for separate triggering operation. For aperiodic CSI-RS based CJT-CSI report, UE calculates the CJT-CSI after receiving the aperiodic CSI-RS. Therefore, the DO used for the CJT-CSI report should be based on the DO report before the first aperiodic CMR instead of before the DCI triggering the CJT-CSI report. For P/SP CSI-RS based CJT-CSI report, usually UE performs some calculation operation for the CJT-CSI after receiving each transmission occasion of the P/SP CMR. Thus, the associated DO report should be the one transmitted before the most recent transmission occasion of CMR before the CSI reference resource. Therefore, the timeline could be common for AP/SP/P CMR based CJT-CSI, where the associated DO report should be the one before the most recent transmission occasion of the first CMR before the CSI reference resource.</w:t>
      </w:r>
    </w:p>
    <w:p w:rsidR="001B1771" w:rsidRPr="00482585" w:rsidRDefault="001B1771" w:rsidP="00475974">
      <w:pPr>
        <w:pStyle w:val="0Maintext"/>
        <w:spacing w:after="120" w:afterAutospacing="0" w:line="240" w:lineRule="auto"/>
        <w:ind w:firstLine="0"/>
        <w:rPr>
          <w:b/>
          <w:bCs/>
          <w:i/>
          <w:iCs/>
          <w:lang w:val="en-US" w:eastAsia="zh-CN"/>
        </w:rPr>
      </w:pPr>
      <w:r w:rsidRPr="00482585">
        <w:rPr>
          <w:b/>
          <w:bCs/>
          <w:i/>
          <w:iCs/>
          <w:lang w:val="en-US" w:eastAsia="zh-CN"/>
        </w:rPr>
        <w:t>Proposal 1</w:t>
      </w:r>
      <w:r w:rsidR="00577F1E">
        <w:rPr>
          <w:b/>
          <w:bCs/>
          <w:i/>
          <w:iCs/>
          <w:lang w:val="en-US" w:eastAsia="zh-CN"/>
        </w:rPr>
        <w:t>1</w:t>
      </w:r>
      <w:r w:rsidRPr="00482585">
        <w:rPr>
          <w:b/>
          <w:bCs/>
          <w:i/>
          <w:iCs/>
          <w:lang w:val="en-US" w:eastAsia="zh-CN"/>
        </w:rPr>
        <w:t>: For separate triggering based linked DO and CJT-CSI report, the delay offset value to be compensated is the latest reported delay offset (DO) whose reporting instance’s last symbol is before the most transmission occasion of the first CMR before the CSI reference resource for the CJT-CSI report.</w:t>
      </w:r>
    </w:p>
    <w:p w:rsidR="001B1771" w:rsidRDefault="001B1771" w:rsidP="00475974">
      <w:pPr>
        <w:pStyle w:val="0Maintext"/>
        <w:spacing w:after="120" w:afterAutospacing="0" w:line="240" w:lineRule="auto"/>
        <w:ind w:firstLine="0"/>
        <w:rPr>
          <w:lang w:val="en-US" w:eastAsia="zh-CN"/>
        </w:rPr>
      </w:pPr>
      <w:r>
        <w:rPr>
          <w:lang w:val="en-US" w:eastAsia="zh-CN"/>
        </w:rPr>
        <w:t>A second issue is</w:t>
      </w:r>
      <w:r w:rsidR="00482585">
        <w:rPr>
          <w:lang w:val="en-US" w:eastAsia="zh-CN"/>
        </w:rPr>
        <w:t xml:space="preserve"> regarding the invalid DO report. If UE reports an invalid DO, i.e., UE cannot identify a valid DO report to be associated with a CJT-CSI report, it should calculate the CJT-CSI based on a default DO value, i.e., DO = 0.</w:t>
      </w:r>
    </w:p>
    <w:p w:rsidR="00482585" w:rsidRPr="00482585" w:rsidRDefault="00482585" w:rsidP="00475974">
      <w:pPr>
        <w:pStyle w:val="0Maintext"/>
        <w:spacing w:after="120" w:afterAutospacing="0" w:line="240" w:lineRule="auto"/>
        <w:ind w:firstLine="0"/>
        <w:rPr>
          <w:b/>
          <w:bCs/>
          <w:i/>
          <w:iCs/>
          <w:lang w:val="en-US" w:eastAsia="zh-CN"/>
        </w:rPr>
      </w:pPr>
      <w:r w:rsidRPr="00482585">
        <w:rPr>
          <w:b/>
          <w:bCs/>
          <w:i/>
          <w:iCs/>
          <w:lang w:val="en-US" w:eastAsia="zh-CN"/>
        </w:rPr>
        <w:t>Proposal 1</w:t>
      </w:r>
      <w:r w:rsidR="00577F1E">
        <w:rPr>
          <w:b/>
          <w:bCs/>
          <w:i/>
          <w:iCs/>
          <w:lang w:val="en-US" w:eastAsia="zh-CN"/>
        </w:rPr>
        <w:t>2</w:t>
      </w:r>
      <w:r w:rsidRPr="00482585">
        <w:rPr>
          <w:b/>
          <w:bCs/>
          <w:i/>
          <w:iCs/>
          <w:lang w:val="en-US" w:eastAsia="zh-CN"/>
        </w:rPr>
        <w:t>: If UE reports an invalid DO in the associated DO report, i.e., UE cannot identify a valid DO report, it calculates the CJT-CSI based on a default DO value, i.e., DO = 0.</w:t>
      </w:r>
    </w:p>
    <w:p w:rsidR="00482585" w:rsidRDefault="00482585" w:rsidP="00475974">
      <w:pPr>
        <w:pStyle w:val="0Maintext"/>
        <w:spacing w:after="120" w:afterAutospacing="0" w:line="240" w:lineRule="auto"/>
        <w:ind w:firstLine="0"/>
        <w:rPr>
          <w:lang w:val="en-US" w:eastAsia="zh-CN"/>
        </w:rPr>
      </w:pPr>
      <w:r>
        <w:rPr>
          <w:lang w:val="en-US" w:eastAsia="zh-CN"/>
        </w:rPr>
        <w:t>A third issue is the minimum processing delay and number of CPUs for the joint trigger mode. Since UE needs to calculate the DO first and then it can calculate the CJT-CSI, the minimum processing delay should be based on the sum of the minimum processing delay for DO report and CJT-CSI report. The number of CPUs should be based on the maximum number of CPUs between the DO report and CJT-CSI report.</w:t>
      </w:r>
    </w:p>
    <w:p w:rsidR="00482585" w:rsidRPr="00482585" w:rsidRDefault="00482585" w:rsidP="00475974">
      <w:pPr>
        <w:pStyle w:val="0Maintext"/>
        <w:spacing w:after="120" w:afterAutospacing="0" w:line="240" w:lineRule="auto"/>
        <w:ind w:firstLine="0"/>
        <w:rPr>
          <w:b/>
          <w:bCs/>
          <w:i/>
          <w:iCs/>
          <w:lang w:val="en-US" w:eastAsia="zh-CN"/>
        </w:rPr>
      </w:pPr>
      <w:r w:rsidRPr="00482585">
        <w:rPr>
          <w:b/>
          <w:bCs/>
          <w:i/>
          <w:iCs/>
          <w:lang w:val="en-US" w:eastAsia="zh-CN"/>
        </w:rPr>
        <w:t>Proposal 1</w:t>
      </w:r>
      <w:r w:rsidR="00577F1E">
        <w:rPr>
          <w:b/>
          <w:bCs/>
          <w:i/>
          <w:iCs/>
          <w:lang w:val="en-US" w:eastAsia="zh-CN"/>
        </w:rPr>
        <w:t>3</w:t>
      </w:r>
      <w:r w:rsidRPr="00482585">
        <w:rPr>
          <w:b/>
          <w:bCs/>
          <w:i/>
          <w:iCs/>
          <w:lang w:val="en-US" w:eastAsia="zh-CN"/>
        </w:rPr>
        <w:t>: For joint triggering operation, the minimum processing delay is the sum of the minimum processing delay for DO report and CJT-CSI report.</w:t>
      </w:r>
    </w:p>
    <w:p w:rsidR="00482585" w:rsidRPr="00482585" w:rsidRDefault="00482585" w:rsidP="00475974">
      <w:pPr>
        <w:pStyle w:val="0Maintext"/>
        <w:spacing w:after="120" w:afterAutospacing="0" w:line="240" w:lineRule="auto"/>
        <w:ind w:firstLine="0"/>
        <w:rPr>
          <w:b/>
          <w:bCs/>
          <w:i/>
          <w:iCs/>
          <w:lang w:val="en-US" w:eastAsia="zh-CN"/>
        </w:rPr>
      </w:pPr>
      <w:r w:rsidRPr="00482585">
        <w:rPr>
          <w:b/>
          <w:bCs/>
          <w:i/>
          <w:iCs/>
          <w:lang w:val="en-US" w:eastAsia="zh-CN"/>
        </w:rPr>
        <w:t>Proposal 1</w:t>
      </w:r>
      <w:r w:rsidR="00577F1E">
        <w:rPr>
          <w:b/>
          <w:bCs/>
          <w:i/>
          <w:iCs/>
          <w:lang w:val="en-US" w:eastAsia="zh-CN"/>
        </w:rPr>
        <w:t>4</w:t>
      </w:r>
      <w:r w:rsidRPr="00482585">
        <w:rPr>
          <w:b/>
          <w:bCs/>
          <w:i/>
          <w:iCs/>
          <w:lang w:val="en-US" w:eastAsia="zh-CN"/>
        </w:rPr>
        <w:t>: For joint triggering operation, the number of CPUs is the maximum number of CPUs between the DO report and CJT-CSI report.</w:t>
      </w:r>
    </w:p>
    <w:p w:rsidR="00482585" w:rsidRDefault="00482585" w:rsidP="00475974">
      <w:pPr>
        <w:pStyle w:val="0Maintext"/>
        <w:spacing w:after="120" w:afterAutospacing="0" w:line="240" w:lineRule="auto"/>
        <w:ind w:firstLine="0"/>
        <w:rPr>
          <w:lang w:val="en-US" w:eastAsia="zh-CN"/>
        </w:rPr>
      </w:pPr>
      <w:r>
        <w:rPr>
          <w:lang w:val="en-US" w:eastAsia="zh-CN"/>
        </w:rPr>
        <w:t>A fourth issue is the CSI omission impact on the DO report and CJT-CSI report for joint triggering operation. If the DO report is dropped, how to calculate the CJT-CSI could be unclear. One possible way is to drop the CJT-CSI report as well.</w:t>
      </w:r>
    </w:p>
    <w:p w:rsidR="00482585" w:rsidRPr="00482585" w:rsidRDefault="00482585" w:rsidP="00475974">
      <w:pPr>
        <w:pStyle w:val="0Maintext"/>
        <w:spacing w:after="120" w:afterAutospacing="0" w:line="240" w:lineRule="auto"/>
        <w:ind w:firstLine="0"/>
        <w:rPr>
          <w:b/>
          <w:bCs/>
          <w:i/>
          <w:iCs/>
          <w:lang w:val="en-US" w:eastAsia="zh-CN"/>
        </w:rPr>
      </w:pPr>
      <w:r w:rsidRPr="00482585">
        <w:rPr>
          <w:b/>
          <w:bCs/>
          <w:i/>
          <w:iCs/>
          <w:lang w:val="en-US" w:eastAsia="zh-CN"/>
        </w:rPr>
        <w:t>Proposal 1</w:t>
      </w:r>
      <w:r w:rsidR="00577F1E">
        <w:rPr>
          <w:b/>
          <w:bCs/>
          <w:i/>
          <w:iCs/>
          <w:lang w:val="en-US" w:eastAsia="zh-CN"/>
        </w:rPr>
        <w:t>5</w:t>
      </w:r>
      <w:r w:rsidRPr="00482585">
        <w:rPr>
          <w:b/>
          <w:bCs/>
          <w:i/>
          <w:iCs/>
          <w:lang w:val="en-US" w:eastAsia="zh-CN"/>
        </w:rPr>
        <w:t xml:space="preserve">: For joint triggering operation, if the DO report is dropped, UE drops the </w:t>
      </w:r>
      <w:r>
        <w:rPr>
          <w:b/>
          <w:bCs/>
          <w:i/>
          <w:iCs/>
          <w:lang w:val="en-US" w:eastAsia="zh-CN"/>
        </w:rPr>
        <w:t xml:space="preserve">linked </w:t>
      </w:r>
      <w:r w:rsidRPr="00482585">
        <w:rPr>
          <w:b/>
          <w:bCs/>
          <w:i/>
          <w:iCs/>
          <w:lang w:val="en-US" w:eastAsia="zh-CN"/>
        </w:rPr>
        <w:t>CJT-CSI report as well.</w:t>
      </w:r>
    </w:p>
    <w:p w:rsidR="00396F46" w:rsidRDefault="00482585" w:rsidP="00475974">
      <w:pPr>
        <w:pStyle w:val="0Maintext"/>
        <w:spacing w:after="120" w:afterAutospacing="0" w:line="240" w:lineRule="auto"/>
        <w:ind w:firstLine="0"/>
        <w:rPr>
          <w:lang w:val="en-US" w:eastAsia="zh-CN"/>
        </w:rPr>
      </w:pPr>
      <w:r>
        <w:rPr>
          <w:lang w:val="en-US" w:eastAsia="zh-CN"/>
        </w:rPr>
        <w:t>A fifth issue is the linkage between CMRs for the DO and CJT-CSI calculation. The number of CSI-RS resource sets for DO report and the number of CSI-RS resources for CJT-CSI report should be the same, which should be one-to-one associated.</w:t>
      </w:r>
    </w:p>
    <w:p w:rsidR="00482585" w:rsidRPr="00482585" w:rsidRDefault="00482585" w:rsidP="00475974">
      <w:pPr>
        <w:pStyle w:val="0Maintext"/>
        <w:spacing w:after="120" w:afterAutospacing="0" w:line="240" w:lineRule="auto"/>
        <w:ind w:firstLine="0"/>
        <w:rPr>
          <w:b/>
          <w:bCs/>
          <w:i/>
          <w:iCs/>
          <w:lang w:val="en-US" w:eastAsia="zh-CN"/>
        </w:rPr>
      </w:pPr>
      <w:r w:rsidRPr="00482585">
        <w:rPr>
          <w:b/>
          <w:bCs/>
          <w:i/>
          <w:iCs/>
          <w:lang w:val="en-US" w:eastAsia="zh-CN"/>
        </w:rPr>
        <w:t>Proposal 1</w:t>
      </w:r>
      <w:r w:rsidR="00577F1E">
        <w:rPr>
          <w:b/>
          <w:bCs/>
          <w:i/>
          <w:iCs/>
          <w:lang w:val="en-US" w:eastAsia="zh-CN"/>
        </w:rPr>
        <w:t>6</w:t>
      </w:r>
      <w:r w:rsidRPr="00482585">
        <w:rPr>
          <w:b/>
          <w:bCs/>
          <w:i/>
          <w:iCs/>
          <w:lang w:val="en-US" w:eastAsia="zh-CN"/>
        </w:rPr>
        <w:t>: The number of CSI-RS resource sets for DO report and the number of CSI-RS resources for channel measurement for CJT-CSI report should be the same</w:t>
      </w:r>
    </w:p>
    <w:p w:rsidR="00482585" w:rsidRPr="00482585" w:rsidRDefault="00482585" w:rsidP="00482585">
      <w:pPr>
        <w:pStyle w:val="0Maintext"/>
        <w:numPr>
          <w:ilvl w:val="0"/>
          <w:numId w:val="1050"/>
        </w:numPr>
        <w:spacing w:after="120" w:afterAutospacing="0" w:line="240" w:lineRule="auto"/>
        <w:rPr>
          <w:b/>
          <w:bCs/>
          <w:i/>
          <w:iCs/>
          <w:lang w:val="en-US" w:eastAsia="zh-CN"/>
        </w:rPr>
      </w:pPr>
      <w:r w:rsidRPr="00482585">
        <w:rPr>
          <w:b/>
          <w:bCs/>
          <w:i/>
          <w:iCs/>
          <w:lang w:val="en-US" w:eastAsia="zh-CN"/>
        </w:rPr>
        <w:t>The CSI-RS resource sets for DO report and CSI-RS resources for channel measurement for CJT-CSI report are one-to-one associated.</w:t>
      </w:r>
    </w:p>
    <w:p w:rsidR="00482585" w:rsidRDefault="00482585" w:rsidP="00475974">
      <w:pPr>
        <w:pStyle w:val="0Maintext"/>
        <w:spacing w:after="120" w:afterAutospacing="0" w:line="240" w:lineRule="auto"/>
        <w:ind w:firstLine="0"/>
        <w:rPr>
          <w:lang w:val="en-US" w:eastAsia="zh-CN"/>
        </w:rPr>
      </w:pPr>
    </w:p>
    <w:p w:rsidR="00482585" w:rsidRDefault="00482585" w:rsidP="00577F1E">
      <w:pPr>
        <w:pStyle w:val="Heading1"/>
      </w:pPr>
      <w:r>
        <w:t>SRS port grouping</w:t>
      </w:r>
    </w:p>
    <w:p w:rsidR="00577F1E" w:rsidRDefault="00577F1E" w:rsidP="00475974">
      <w:pPr>
        <w:pStyle w:val="0Maintext"/>
        <w:spacing w:after="120" w:afterAutospacing="0" w:line="240" w:lineRule="auto"/>
        <w:ind w:firstLine="0"/>
        <w:rPr>
          <w:lang w:val="en-US" w:eastAsia="zh-CN"/>
        </w:rPr>
      </w:pPr>
      <w:r>
        <w:rPr>
          <w:lang w:val="en-US" w:eastAsia="zh-CN"/>
        </w:rPr>
        <w:t xml:space="preserve">For 6Rx/8Rx UE, with regard to the CQI calculation mismatch, and NW and UE need to maintain the same understanding on which UE ports are used to receive a codeword and to transmit the corresponding SRS. Thus, one simple way is to divide the SRS ports into two groups, where the first group corresponds to the first CW and the second group corresponds to the second CW. Then when calculating the CQI, UE can use the ports corresponding to the SRS ports groups. </w:t>
      </w:r>
    </w:p>
    <w:p w:rsidR="00482585" w:rsidRDefault="00577F1E" w:rsidP="00475974">
      <w:pPr>
        <w:pStyle w:val="0Maintext"/>
        <w:spacing w:after="120" w:afterAutospacing="0" w:line="240" w:lineRule="auto"/>
        <w:ind w:firstLine="0"/>
        <w:rPr>
          <w:lang w:val="en-US" w:eastAsia="zh-CN"/>
        </w:rPr>
      </w:pPr>
      <w:r>
        <w:rPr>
          <w:lang w:val="en-US" w:eastAsia="zh-CN"/>
        </w:rPr>
        <w:t>For PDSCH reception, it is necessary to maintain the same understanding between the UE and NW on whether UE can receive different CWs by different ports. Thus, the NW may configure whether the PDSCH reception can be based on the CW specific port grouping or not.</w:t>
      </w:r>
    </w:p>
    <w:p w:rsidR="00577F1E" w:rsidRPr="00577F1E" w:rsidRDefault="00577F1E" w:rsidP="00475974">
      <w:pPr>
        <w:pStyle w:val="0Maintext"/>
        <w:spacing w:after="120" w:afterAutospacing="0" w:line="240" w:lineRule="auto"/>
        <w:ind w:firstLine="0"/>
        <w:rPr>
          <w:b/>
          <w:bCs/>
          <w:i/>
          <w:iCs/>
          <w:lang w:val="en-US" w:eastAsia="zh-CN"/>
        </w:rPr>
      </w:pPr>
      <w:r w:rsidRPr="00577F1E">
        <w:rPr>
          <w:b/>
          <w:bCs/>
          <w:i/>
          <w:iCs/>
          <w:lang w:val="en-US" w:eastAsia="zh-CN"/>
        </w:rPr>
        <w:t>Proposal 1</w:t>
      </w:r>
      <w:r>
        <w:rPr>
          <w:b/>
          <w:bCs/>
          <w:i/>
          <w:iCs/>
          <w:lang w:val="en-US" w:eastAsia="zh-CN"/>
        </w:rPr>
        <w:t>7</w:t>
      </w:r>
      <w:r w:rsidRPr="00577F1E">
        <w:rPr>
          <w:b/>
          <w:bCs/>
          <w:i/>
          <w:iCs/>
          <w:lang w:val="en-US" w:eastAsia="zh-CN"/>
        </w:rPr>
        <w:t>: Support to divide the SRS ports into two groups where different groups corresponding to different ports used to calculate the CQI for different codewords.</w:t>
      </w:r>
    </w:p>
    <w:p w:rsidR="00577F1E" w:rsidRPr="00577F1E" w:rsidRDefault="00577F1E" w:rsidP="00475974">
      <w:pPr>
        <w:pStyle w:val="0Maintext"/>
        <w:spacing w:after="120" w:afterAutospacing="0" w:line="240" w:lineRule="auto"/>
        <w:ind w:firstLine="0"/>
        <w:rPr>
          <w:b/>
          <w:bCs/>
          <w:i/>
          <w:iCs/>
          <w:lang w:val="en-US" w:eastAsia="zh-CN"/>
        </w:rPr>
      </w:pPr>
      <w:r w:rsidRPr="00577F1E">
        <w:rPr>
          <w:b/>
          <w:bCs/>
          <w:i/>
          <w:iCs/>
          <w:lang w:val="en-US" w:eastAsia="zh-CN"/>
        </w:rPr>
        <w:lastRenderedPageBreak/>
        <w:t>Proposal 1</w:t>
      </w:r>
      <w:r>
        <w:rPr>
          <w:b/>
          <w:bCs/>
          <w:i/>
          <w:iCs/>
          <w:lang w:val="en-US" w:eastAsia="zh-CN"/>
        </w:rPr>
        <w:t>8</w:t>
      </w:r>
      <w:r w:rsidRPr="00577F1E">
        <w:rPr>
          <w:b/>
          <w:bCs/>
          <w:i/>
          <w:iCs/>
          <w:lang w:val="en-US" w:eastAsia="zh-CN"/>
        </w:rPr>
        <w:t>: Support to configure whether the UE can receive different codewords for a PDSCH by different UE ports corresponding to different SRS ports groups.</w:t>
      </w:r>
    </w:p>
    <w:p w:rsidR="00577F1E" w:rsidRDefault="00577F1E" w:rsidP="00475974">
      <w:pPr>
        <w:pStyle w:val="0Maintext"/>
        <w:spacing w:after="120" w:afterAutospacing="0" w:line="240" w:lineRule="auto"/>
        <w:ind w:firstLine="0"/>
        <w:rPr>
          <w:lang w:val="en-US" w:eastAsia="zh-CN"/>
        </w:rPr>
      </w:pPr>
    </w:p>
    <w:p w:rsidR="00577F1E" w:rsidRPr="00482585" w:rsidRDefault="00577F1E" w:rsidP="00475974">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031F18">
        <w:rPr>
          <w:rFonts w:hint="eastAsia"/>
          <w:lang w:val="en-US" w:eastAsia="zh-CN"/>
        </w:rPr>
        <w:t>CSI</w:t>
      </w:r>
      <w:r w:rsidR="00031F18">
        <w:rPr>
          <w:lang w:val="en-US" w:eastAsia="zh-CN"/>
        </w:rPr>
        <w:t xml:space="preserve"> </w:t>
      </w:r>
      <w:r w:rsidR="00157942">
        <w:rPr>
          <w:lang w:val="en-US" w:eastAsia="zh-CN"/>
        </w:rPr>
        <w:t>enhancement for NR</w:t>
      </w:r>
      <w:r w:rsidR="00031F18">
        <w:rPr>
          <w:lang w:val="en-US" w:eastAsia="zh-CN"/>
        </w:rPr>
        <w:t xml:space="preserve"> </w:t>
      </w:r>
      <w:r w:rsidR="00031F18">
        <w:rPr>
          <w:rFonts w:hint="eastAsia"/>
          <w:lang w:val="en-US" w:eastAsia="zh-CN"/>
        </w:rPr>
        <w:t>MIMO</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577F1E" w:rsidRDefault="00577F1E" w:rsidP="00577F1E">
      <w:pPr>
        <w:pStyle w:val="0Maintext"/>
        <w:spacing w:after="120" w:afterAutospacing="0" w:line="240" w:lineRule="auto"/>
        <w:ind w:firstLine="0"/>
        <w:rPr>
          <w:lang w:val="en-US" w:eastAsia="zh-CN"/>
        </w:rPr>
      </w:pPr>
      <w:r w:rsidRPr="00157942">
        <w:rPr>
          <w:b/>
          <w:bCs/>
          <w:i/>
          <w:iCs/>
          <w:lang w:val="en-US" w:eastAsia="zh-CN"/>
        </w:rPr>
        <w:t xml:space="preserve">Proposal </w:t>
      </w:r>
      <w:r>
        <w:rPr>
          <w:b/>
          <w:bCs/>
          <w:i/>
          <w:iCs/>
          <w:lang w:val="en-US" w:eastAsia="zh-CN"/>
        </w:rPr>
        <w:t>1</w:t>
      </w:r>
      <w:r w:rsidRPr="00157942">
        <w:rPr>
          <w:b/>
          <w:bCs/>
          <w:i/>
          <w:iCs/>
          <w:lang w:val="en-US" w:eastAsia="zh-CN"/>
        </w:rPr>
        <w:t xml:space="preserve">: </w:t>
      </w:r>
      <w:r>
        <w:rPr>
          <w:b/>
          <w:bCs/>
          <w:i/>
          <w:iCs/>
          <w:lang w:val="en-US" w:eastAsia="zh-CN"/>
        </w:rPr>
        <w:t xml:space="preserve">When the NW configures a Type1 codebook with more than 32 ports, support the NW configures the reportQuantity based on </w:t>
      </w:r>
      <w:r w:rsidRPr="006104C7">
        <w:rPr>
          <w:b/>
          <w:bCs/>
          <w:i/>
          <w:iCs/>
          <w:lang w:val="en-US" w:eastAsia="zh-CN"/>
        </w:rPr>
        <w:t xml:space="preserve">“RI-PMI-CQI” </w:t>
      </w:r>
      <w:r>
        <w:rPr>
          <w:b/>
          <w:bCs/>
          <w:i/>
          <w:iCs/>
          <w:lang w:val="en-US" w:eastAsia="zh-CN"/>
        </w:rPr>
        <w:t>and</w:t>
      </w:r>
      <w:r w:rsidRPr="006104C7">
        <w:rPr>
          <w:b/>
          <w:bCs/>
          <w:i/>
          <w:iCs/>
          <w:lang w:val="en-US" w:eastAsia="zh-CN"/>
        </w:rPr>
        <w:t xml:space="preserve"> “RI-PMI-CQI-LI”</w:t>
      </w:r>
      <w:r>
        <w:rPr>
          <w:b/>
          <w:bCs/>
          <w:i/>
          <w:iCs/>
          <w:lang w:val="en-US" w:eastAsia="zh-CN"/>
        </w:rPr>
        <w:t xml:space="preserve"> </w:t>
      </w:r>
      <w:r w:rsidRPr="009127D2">
        <w:rPr>
          <w:b/>
          <w:bCs/>
          <w:i/>
          <w:iCs/>
          <w:lang w:val="en-US" w:eastAsia="zh-CN"/>
        </w:rPr>
        <w:t>to distinguish from the legacy Type1 codebook based CSI report based on multiple CSI-RS resources with CRI reported</w:t>
      </w:r>
      <w:r>
        <w:rPr>
          <w:b/>
          <w:bCs/>
          <w:i/>
          <w:iCs/>
          <w:lang w:val="en-US" w:eastAsia="zh-CN"/>
        </w:rPr>
        <w:t>.</w:t>
      </w:r>
    </w:p>
    <w:p w:rsidR="00577F1E" w:rsidRPr="00EE70F0" w:rsidRDefault="00577F1E" w:rsidP="00577F1E">
      <w:pPr>
        <w:widowControl w:val="0"/>
        <w:snapToGrid w:val="0"/>
        <w:jc w:val="both"/>
        <w:rPr>
          <w:rFonts w:eastAsia="Malgun Gothic"/>
          <w:b/>
          <w:bCs/>
          <w:i/>
          <w:sz w:val="20"/>
          <w:szCs w:val="20"/>
          <w:lang w:eastAsia="ja-JP"/>
        </w:rPr>
      </w:pPr>
      <w:r w:rsidRPr="00EE70F0">
        <w:rPr>
          <w:b/>
          <w:bCs/>
          <w:i/>
          <w:sz w:val="20"/>
          <w:szCs w:val="20"/>
        </w:rPr>
        <w:t xml:space="preserve">Proposal 2: For the Rel-19 Type-I codebook refinement for 48, 64, and 128 CSI-RS ports, </w:t>
      </w:r>
      <w:r w:rsidRPr="00EE70F0">
        <w:rPr>
          <w:b/>
          <w:bCs/>
          <w:i/>
          <w:color w:val="FF0000"/>
          <w:sz w:val="20"/>
          <w:szCs w:val="20"/>
          <w:u w:val="single"/>
        </w:rPr>
        <w:t>support</w:t>
      </w:r>
      <w:r w:rsidRPr="00EE70F0">
        <w:rPr>
          <w:b/>
          <w:bCs/>
          <w:i/>
          <w:sz w:val="20"/>
          <w:szCs w:val="20"/>
        </w:rPr>
        <w:t>, for RI=</w:t>
      </w:r>
      <w:r w:rsidRPr="00EE70F0">
        <w:rPr>
          <w:rFonts w:eastAsia="Malgun Gothic"/>
          <w:b/>
          <w:bCs/>
          <w:i/>
          <w:sz w:val="20"/>
          <w:szCs w:val="20"/>
          <w:lang w:eastAsia="ja-JP"/>
        </w:rPr>
        <w:t xml:space="preserve"> </w:t>
      </w:r>
      <m:oMath>
        <m:r>
          <m:rPr>
            <m:sty m:val="bi"/>
          </m:rPr>
          <w:rPr>
            <w:rFonts w:ascii="Cambria Math" w:eastAsia="Malgun Gothic" w:hAnsi="Cambria Math"/>
            <w:sz w:val="20"/>
            <w:szCs w:val="20"/>
            <w:lang w:eastAsia="ja-JP"/>
          </w:rPr>
          <m:t>ϑ</m:t>
        </m:r>
      </m:oMath>
      <w:r w:rsidRPr="00EE70F0">
        <w:rPr>
          <w:b/>
          <w:bCs/>
          <w:i/>
          <w:sz w:val="20"/>
          <w:szCs w:val="20"/>
        </w:rPr>
        <w:t xml:space="preserve"> &gt;1, applying the 3-bit scaling factor(s) as agreed in RAN1#117, where a per-layer scaling factor applied to the </w:t>
      </w:r>
      <m:oMath>
        <m:sSup>
          <m:sSupPr>
            <m:ctrlPr>
              <w:rPr>
                <w:rFonts w:ascii="Cambria Math" w:hAnsi="Cambria Math"/>
                <w:b/>
                <w:bCs/>
                <w:i/>
                <w:sz w:val="20"/>
                <w:szCs w:val="20"/>
              </w:rPr>
            </m:ctrlPr>
          </m:sSupPr>
          <m:e>
            <m:r>
              <m:rPr>
                <m:sty m:val="bi"/>
              </m:rPr>
              <w:rPr>
                <w:rFonts w:ascii="Cambria Math" w:hAnsi="Cambria Math"/>
                <w:sz w:val="20"/>
                <w:szCs w:val="20"/>
              </w:rPr>
              <m:t>i</m:t>
            </m:r>
          </m:e>
          <m:sup>
            <m:r>
              <m:rPr>
                <m:sty m:val="bi"/>
              </m:rPr>
              <w:rPr>
                <w:rFonts w:ascii="Cambria Math" w:hAnsi="Cambria Math"/>
                <w:sz w:val="20"/>
                <w:szCs w:val="20"/>
              </w:rPr>
              <m:t>th</m:t>
            </m:r>
          </m:sup>
        </m:sSup>
      </m:oMath>
      <w:r w:rsidRPr="00EE70F0">
        <w:rPr>
          <w:rFonts w:eastAsia="Malgun Gothic"/>
          <w:b/>
          <w:bCs/>
          <w:i/>
          <w:sz w:val="20"/>
          <w:szCs w:val="20"/>
        </w:rPr>
        <w:t xml:space="preserve"> selected SD basis vector is given by e.g. </w:t>
      </w:r>
      <m:oMath>
        <m:r>
          <m:rPr>
            <m:sty m:val="bi"/>
          </m:rPr>
          <w:rPr>
            <w:rFonts w:ascii="Cambria Math" w:eastAsia="Malgun Gothic" w:hAnsi="Cambria Math"/>
            <w:sz w:val="20"/>
            <w:szCs w:val="20"/>
            <w:lang w:eastAsia="ja-JP"/>
          </w:rPr>
          <m:t>min</m:t>
        </m:r>
        <m:d>
          <m:dPr>
            <m:begChr m:val="{"/>
            <m:endChr m:val="}"/>
            <m:ctrlPr>
              <w:rPr>
                <w:rFonts w:ascii="Cambria Math" w:eastAsia="Malgun Gothic" w:hAnsi="Cambria Math"/>
                <w:b/>
                <w:bCs/>
                <w:i/>
                <w:sz w:val="20"/>
                <w:szCs w:val="20"/>
                <w:lang w:eastAsia="ja-JP"/>
              </w:rPr>
            </m:ctrlPr>
          </m:dPr>
          <m:e>
            <m:r>
              <m:rPr>
                <m:sty m:val="bi"/>
              </m:rPr>
              <w:rPr>
                <w:rFonts w:ascii="Cambria Math" w:eastAsia="Malgun Gothic" w:hAnsi="Cambria Math"/>
                <w:sz w:val="20"/>
                <w:szCs w:val="20"/>
                <w:lang w:eastAsia="ja-JP"/>
              </w:rPr>
              <m:t>1,</m:t>
            </m:r>
            <m:f>
              <m:fPr>
                <m:ctrlPr>
                  <w:rPr>
                    <w:rFonts w:ascii="Cambria Math" w:eastAsia="Malgun Gothic" w:hAnsi="Cambria Math"/>
                    <w:b/>
                    <w:bCs/>
                    <w:i/>
                    <w:sz w:val="20"/>
                    <w:szCs w:val="20"/>
                    <w:lang w:eastAsia="ja-JP"/>
                  </w:rPr>
                </m:ctrlPr>
              </m:fPr>
              <m:num>
                <m:r>
                  <m:rPr>
                    <m:sty m:val="bi"/>
                  </m:rPr>
                  <w:rPr>
                    <w:rFonts w:ascii="Cambria Math" w:eastAsia="Malgun Gothic" w:hAnsi="Cambria Math"/>
                    <w:sz w:val="20"/>
                    <w:szCs w:val="20"/>
                    <w:lang w:eastAsia="ja-JP"/>
                  </w:rPr>
                  <m:t>ϑ</m:t>
                </m:r>
                <m:sSubSup>
                  <m:sSubSupPr>
                    <m:ctrlPr>
                      <w:rPr>
                        <w:rFonts w:ascii="Cambria Math" w:eastAsia="Malgun Gothic" w:hAnsi="Cambria Math"/>
                        <w:b/>
                        <w:bCs/>
                        <w:i/>
                        <w:sz w:val="20"/>
                        <w:szCs w:val="20"/>
                        <w:lang w:eastAsia="ja-JP"/>
                      </w:rPr>
                    </m:ctrlPr>
                  </m:sSubSupPr>
                  <m:e>
                    <m:r>
                      <m:rPr>
                        <m:sty m:val="bi"/>
                      </m:rPr>
                      <w:rPr>
                        <w:rFonts w:ascii="Cambria Math" w:eastAsia="Malgun Gothic" w:hAnsi="Cambria Math"/>
                        <w:sz w:val="20"/>
                        <w:szCs w:val="20"/>
                        <w:lang w:eastAsia="ja-JP"/>
                      </w:rPr>
                      <m:t>s</m:t>
                    </m:r>
                  </m:e>
                  <m:sub>
                    <m:r>
                      <m:rPr>
                        <m:sty m:val="bi"/>
                      </m:rPr>
                      <w:rPr>
                        <w:rFonts w:ascii="Cambria Math" w:eastAsia="Malgun Gothic" w:hAnsi="Cambria Math"/>
                        <w:sz w:val="20"/>
                        <w:szCs w:val="20"/>
                        <w:lang w:eastAsia="ja-JP"/>
                      </w:rPr>
                      <m:t>i</m:t>
                    </m:r>
                  </m:sub>
                  <m:sup>
                    <m:r>
                      <m:rPr>
                        <m:sty m:val="bi"/>
                      </m:rPr>
                      <w:rPr>
                        <w:rFonts w:ascii="Cambria Math" w:eastAsia="Malgun Gothic" w:hAnsi="Cambria Math"/>
                        <w:sz w:val="20"/>
                        <w:szCs w:val="20"/>
                        <w:lang w:eastAsia="ja-JP"/>
                      </w:rPr>
                      <m:t>2</m:t>
                    </m:r>
                  </m:sup>
                </m:sSubSup>
              </m:num>
              <m:den>
                <m:sSub>
                  <m:sSubPr>
                    <m:ctrlPr>
                      <w:rPr>
                        <w:rFonts w:ascii="Cambria Math" w:eastAsia="Malgun Gothic" w:hAnsi="Cambria Math"/>
                        <w:b/>
                        <w:bCs/>
                        <w:i/>
                        <w:sz w:val="20"/>
                        <w:szCs w:val="20"/>
                        <w:lang w:eastAsia="ja-JP"/>
                      </w:rPr>
                    </m:ctrlPr>
                  </m:sSubPr>
                  <m:e>
                    <m:r>
                      <m:rPr>
                        <m:sty m:val="bi"/>
                      </m:rPr>
                      <w:rPr>
                        <w:rFonts w:ascii="Cambria Math" w:eastAsia="Malgun Gothic" w:hAnsi="Cambria Math"/>
                        <w:sz w:val="20"/>
                        <w:szCs w:val="20"/>
                        <w:lang w:eastAsia="ja-JP"/>
                      </w:rPr>
                      <m:t>r</m:t>
                    </m:r>
                  </m:e>
                  <m:sub>
                    <m:r>
                      <m:rPr>
                        <m:sty m:val="bi"/>
                      </m:rPr>
                      <w:rPr>
                        <w:rFonts w:ascii="Cambria Math" w:eastAsia="Malgun Gothic" w:hAnsi="Cambria Math"/>
                        <w:sz w:val="20"/>
                        <w:szCs w:val="20"/>
                        <w:lang w:eastAsia="ja-JP"/>
                      </w:rPr>
                      <m:t>i</m:t>
                    </m:r>
                  </m:sub>
                </m:sSub>
              </m:den>
            </m:f>
          </m:e>
        </m:d>
      </m:oMath>
      <w:r w:rsidRPr="00EE70F0">
        <w:rPr>
          <w:rFonts w:eastAsia="Malgun Gothic"/>
          <w:b/>
          <w:bCs/>
          <w:i/>
          <w:sz w:val="20"/>
          <w:szCs w:val="20"/>
          <w:lang w:eastAsia="ja-JP"/>
        </w:rPr>
        <w:t xml:space="preserve">, where unit scaling factor “1” is associated with the PDSCH-to-CSIRS EPRE offset “portion” contributed by the </w:t>
      </w:r>
      <m:oMath>
        <m:sSup>
          <m:sSupPr>
            <m:ctrlPr>
              <w:rPr>
                <w:rFonts w:ascii="Cambria Math" w:eastAsia="Malgun Gothic" w:hAnsi="Cambria Math"/>
                <w:b/>
                <w:bCs/>
                <w:i/>
                <w:sz w:val="20"/>
                <w:szCs w:val="20"/>
                <w:lang w:eastAsia="ja-JP"/>
              </w:rPr>
            </m:ctrlPr>
          </m:sSupPr>
          <m:e>
            <m:r>
              <m:rPr>
                <m:sty m:val="bi"/>
              </m:rPr>
              <w:rPr>
                <w:rFonts w:ascii="Cambria Math" w:eastAsia="Malgun Gothic" w:hAnsi="Cambria Math"/>
                <w:sz w:val="20"/>
                <w:szCs w:val="20"/>
                <w:lang w:eastAsia="ja-JP"/>
              </w:rPr>
              <m:t>i</m:t>
            </m:r>
          </m:e>
          <m:sup>
            <m:r>
              <m:rPr>
                <m:sty m:val="bi"/>
              </m:rPr>
              <w:rPr>
                <w:rFonts w:ascii="Cambria Math" w:eastAsia="Malgun Gothic" w:hAnsi="Cambria Math"/>
                <w:sz w:val="20"/>
                <w:szCs w:val="20"/>
                <w:lang w:eastAsia="ja-JP"/>
              </w:rPr>
              <m:t>th</m:t>
            </m:r>
          </m:sup>
        </m:sSup>
      </m:oMath>
      <w:r w:rsidRPr="00EE70F0">
        <w:rPr>
          <w:rFonts w:eastAsia="Malgun Gothic"/>
          <w:b/>
          <w:bCs/>
          <w:i/>
          <w:sz w:val="20"/>
          <w:szCs w:val="20"/>
          <w:lang w:eastAsia="ja-JP"/>
        </w:rPr>
        <w:t xml:space="preserve"> selected SD basis vector without the 3-bit scaling factor </w:t>
      </w:r>
      <m:oMath>
        <m:sSub>
          <m:sSubPr>
            <m:ctrlPr>
              <w:rPr>
                <w:rFonts w:ascii="Cambria Math" w:eastAsia="Malgun Gothic" w:hAnsi="Cambria Math"/>
                <w:b/>
                <w:bCs/>
                <w:i/>
                <w:sz w:val="20"/>
                <w:szCs w:val="20"/>
                <w:lang w:eastAsia="ja-JP"/>
              </w:rPr>
            </m:ctrlPr>
          </m:sSubPr>
          <m:e>
            <m:r>
              <m:rPr>
                <m:sty m:val="bi"/>
              </m:rPr>
              <w:rPr>
                <w:rFonts w:ascii="Cambria Math" w:eastAsia="Malgun Gothic" w:hAnsi="Cambria Math"/>
                <w:sz w:val="20"/>
                <w:szCs w:val="20"/>
                <w:lang w:eastAsia="ja-JP"/>
              </w:rPr>
              <m:t>s</m:t>
            </m:r>
          </m:e>
          <m:sub>
            <m:r>
              <m:rPr>
                <m:sty m:val="bi"/>
              </m:rPr>
              <w:rPr>
                <w:rFonts w:ascii="Cambria Math" w:eastAsia="Malgun Gothic" w:hAnsi="Cambria Math"/>
                <w:sz w:val="20"/>
                <w:szCs w:val="20"/>
                <w:lang w:eastAsia="ja-JP"/>
              </w:rPr>
              <m:t>i</m:t>
            </m:r>
          </m:sub>
        </m:sSub>
      </m:oMath>
      <w:r w:rsidRPr="00EE70F0">
        <w:rPr>
          <w:rFonts w:eastAsia="Malgun Gothic"/>
          <w:b/>
          <w:bCs/>
          <w:i/>
          <w:sz w:val="20"/>
          <w:szCs w:val="20"/>
          <w:lang w:eastAsia="ja-JP"/>
        </w:rPr>
        <w:t xml:space="preserve"> configured, e.g. </w:t>
      </w:r>
      <m:oMath>
        <m:sSub>
          <m:sSubPr>
            <m:ctrlPr>
              <w:rPr>
                <w:rFonts w:ascii="Cambria Math" w:eastAsia="Malgun Gothic" w:hAnsi="Cambria Math"/>
                <w:b/>
                <w:bCs/>
                <w:i/>
                <w:sz w:val="20"/>
                <w:szCs w:val="20"/>
                <w:lang w:eastAsia="ja-JP"/>
              </w:rPr>
            </m:ctrlPr>
          </m:sSubPr>
          <m:e>
            <m:r>
              <m:rPr>
                <m:sty m:val="bi"/>
              </m:rPr>
              <w:rPr>
                <w:rFonts w:ascii="Cambria Math" w:eastAsia="Malgun Gothic" w:hAnsi="Cambria Math"/>
                <w:sz w:val="20"/>
                <w:szCs w:val="20"/>
                <w:lang w:eastAsia="ja-JP"/>
              </w:rPr>
              <m:t>s</m:t>
            </m:r>
          </m:e>
          <m:sub>
            <m:r>
              <m:rPr>
                <m:sty m:val="bi"/>
              </m:rPr>
              <w:rPr>
                <w:rFonts w:ascii="Cambria Math" w:eastAsia="Malgun Gothic" w:hAnsi="Cambria Math"/>
                <w:sz w:val="20"/>
                <w:szCs w:val="20"/>
                <w:lang w:eastAsia="ja-JP"/>
              </w:rPr>
              <m:t>i</m:t>
            </m:r>
          </m:sub>
        </m:sSub>
        <m:r>
          <m:rPr>
            <m:sty m:val="bi"/>
          </m:rPr>
          <w:rPr>
            <w:rFonts w:ascii="Cambria Math" w:eastAsia="Malgun Gothic" w:hAnsi="Cambria Math"/>
            <w:sz w:val="20"/>
            <w:szCs w:val="20"/>
            <w:lang w:eastAsia="ja-JP"/>
          </w:rPr>
          <m:t>∈</m:t>
        </m:r>
        <m:d>
          <m:dPr>
            <m:begChr m:val="{"/>
            <m:endChr m:val="}"/>
            <m:ctrlPr>
              <w:rPr>
                <w:rFonts w:ascii="Cambria Math" w:hAnsi="Cambria Math"/>
                <w:b/>
                <w:bCs/>
                <w:i/>
                <w:sz w:val="20"/>
                <w:szCs w:val="20"/>
              </w:rPr>
            </m:ctrlPr>
          </m:dPr>
          <m:e>
            <m:rad>
              <m:radPr>
                <m:degHide m:val="1"/>
                <m:ctrlPr>
                  <w:rPr>
                    <w:rFonts w:ascii="Cambria Math" w:hAnsi="Cambria Math"/>
                    <w:b/>
                    <w:bCs/>
                    <w:i/>
                    <w:sz w:val="20"/>
                    <w:szCs w:val="20"/>
                  </w:rPr>
                </m:ctrlPr>
              </m:radPr>
              <m:deg/>
              <m:e>
                <m:r>
                  <m:rPr>
                    <m:sty m:val="bi"/>
                  </m:rPr>
                  <w:rPr>
                    <w:rFonts w:ascii="Cambria Math" w:hAnsi="Cambria Math"/>
                    <w:sz w:val="20"/>
                    <w:szCs w:val="20"/>
                  </w:rPr>
                  <m:t>1</m:t>
                </m:r>
              </m:e>
            </m:rad>
            <m:r>
              <m:rPr>
                <m:sty m:val="bi"/>
              </m:rPr>
              <w:rPr>
                <w:rFonts w:ascii="Cambria Math" w:hAnsi="Cambria Math"/>
                <w:sz w:val="20"/>
                <w:szCs w:val="20"/>
              </w:rPr>
              <m:t>, </m:t>
            </m:r>
            <m:rad>
              <m:radPr>
                <m:degHide m:val="1"/>
                <m:ctrlPr>
                  <w:rPr>
                    <w:rFonts w:ascii="Cambria Math" w:hAnsi="Cambria Math"/>
                    <w:b/>
                    <w:bCs/>
                    <w:i/>
                    <w:sz w:val="20"/>
                    <w:szCs w:val="20"/>
                  </w:rPr>
                </m:ctrlPr>
              </m:radPr>
              <m:deg/>
              <m:e>
                <m:f>
                  <m:fPr>
                    <m:ctrlPr>
                      <w:rPr>
                        <w:rFonts w:ascii="Cambria Math" w:hAnsi="Cambria Math"/>
                        <w:b/>
                        <w:bCs/>
                        <w:i/>
                        <w:sz w:val="20"/>
                        <w:szCs w:val="20"/>
                      </w:rPr>
                    </m:ctrlPr>
                  </m:fPr>
                  <m:num>
                    <m:r>
                      <m:rPr>
                        <m:sty m:val="bi"/>
                      </m:rPr>
                      <w:rPr>
                        <w:rFonts w:ascii="Cambria Math" w:hAnsi="Cambria Math"/>
                        <w:sz w:val="20"/>
                        <w:szCs w:val="20"/>
                      </w:rPr>
                      <m:t>1</m:t>
                    </m:r>
                  </m:num>
                  <m:den>
                    <m:r>
                      <m:rPr>
                        <m:sty m:val="bi"/>
                      </m:rPr>
                      <w:rPr>
                        <w:rFonts w:ascii="Cambria Math" w:hAnsi="Cambria Math"/>
                        <w:sz w:val="20"/>
                        <w:szCs w:val="20"/>
                      </w:rPr>
                      <m:t>2</m:t>
                    </m:r>
                  </m:den>
                </m:f>
              </m:e>
            </m:rad>
            <m:r>
              <m:rPr>
                <m:sty m:val="bi"/>
              </m:rPr>
              <w:rPr>
                <w:rFonts w:ascii="Cambria Math" w:hAnsi="Cambria Math"/>
                <w:sz w:val="20"/>
                <w:szCs w:val="20"/>
              </w:rPr>
              <m:t>, </m:t>
            </m:r>
            <m:rad>
              <m:radPr>
                <m:degHide m:val="1"/>
                <m:ctrlPr>
                  <w:rPr>
                    <w:rFonts w:ascii="Cambria Math" w:hAnsi="Cambria Math"/>
                    <w:b/>
                    <w:bCs/>
                    <w:i/>
                    <w:sz w:val="20"/>
                    <w:szCs w:val="20"/>
                  </w:rPr>
                </m:ctrlPr>
              </m:radPr>
              <m:deg/>
              <m:e>
                <m:f>
                  <m:fPr>
                    <m:ctrlPr>
                      <w:rPr>
                        <w:rFonts w:ascii="Cambria Math" w:hAnsi="Cambria Math"/>
                        <w:b/>
                        <w:bCs/>
                        <w:i/>
                        <w:sz w:val="20"/>
                        <w:szCs w:val="20"/>
                      </w:rPr>
                    </m:ctrlPr>
                  </m:fPr>
                  <m:num>
                    <m:r>
                      <m:rPr>
                        <m:sty m:val="bi"/>
                      </m:rPr>
                      <w:rPr>
                        <w:rFonts w:ascii="Cambria Math" w:hAnsi="Cambria Math"/>
                        <w:sz w:val="20"/>
                        <w:szCs w:val="20"/>
                      </w:rPr>
                      <m:t>1</m:t>
                    </m:r>
                  </m:num>
                  <m:den>
                    <m:r>
                      <m:rPr>
                        <m:sty m:val="bi"/>
                      </m:rPr>
                      <w:rPr>
                        <w:rFonts w:ascii="Cambria Math" w:hAnsi="Cambria Math"/>
                        <w:sz w:val="20"/>
                        <w:szCs w:val="20"/>
                      </w:rPr>
                      <m:t>3</m:t>
                    </m:r>
                  </m:den>
                </m:f>
              </m:e>
            </m:rad>
            <m:r>
              <m:rPr>
                <m:sty m:val="bi"/>
              </m:rPr>
              <w:rPr>
                <w:rFonts w:ascii="Cambria Math" w:hAnsi="Cambria Math"/>
                <w:sz w:val="20"/>
                <w:szCs w:val="20"/>
              </w:rPr>
              <m:t> ,</m:t>
            </m:r>
            <m:rad>
              <m:radPr>
                <m:degHide m:val="1"/>
                <m:ctrlPr>
                  <w:rPr>
                    <w:rFonts w:ascii="Cambria Math" w:hAnsi="Cambria Math"/>
                    <w:b/>
                    <w:bCs/>
                    <w:i/>
                    <w:sz w:val="20"/>
                    <w:szCs w:val="20"/>
                  </w:rPr>
                </m:ctrlPr>
              </m:radPr>
              <m:deg/>
              <m:e>
                <m:f>
                  <m:fPr>
                    <m:ctrlPr>
                      <w:rPr>
                        <w:rFonts w:ascii="Cambria Math" w:hAnsi="Cambria Math"/>
                        <w:b/>
                        <w:bCs/>
                        <w:i/>
                        <w:sz w:val="20"/>
                        <w:szCs w:val="20"/>
                      </w:rPr>
                    </m:ctrlPr>
                  </m:fPr>
                  <m:num>
                    <m:r>
                      <m:rPr>
                        <m:sty m:val="bi"/>
                      </m:rPr>
                      <w:rPr>
                        <w:rFonts w:ascii="Cambria Math" w:hAnsi="Cambria Math"/>
                        <w:sz w:val="20"/>
                        <w:szCs w:val="20"/>
                      </w:rPr>
                      <m:t>1</m:t>
                    </m:r>
                  </m:num>
                  <m:den>
                    <m:r>
                      <m:rPr>
                        <m:sty m:val="bi"/>
                      </m:rPr>
                      <w:rPr>
                        <w:rFonts w:ascii="Cambria Math" w:hAnsi="Cambria Math"/>
                        <w:sz w:val="20"/>
                        <w:szCs w:val="20"/>
                      </w:rPr>
                      <m:t>4</m:t>
                    </m:r>
                  </m:den>
                </m:f>
              </m:e>
            </m:rad>
            <m:r>
              <m:rPr>
                <m:sty m:val="bi"/>
              </m:rPr>
              <w:rPr>
                <w:rFonts w:ascii="Cambria Math" w:hAnsi="Cambria Math"/>
                <w:sz w:val="20"/>
                <w:szCs w:val="20"/>
              </w:rPr>
              <m:t>,</m:t>
            </m:r>
            <m:rad>
              <m:radPr>
                <m:degHide m:val="1"/>
                <m:ctrlPr>
                  <w:rPr>
                    <w:rFonts w:ascii="Cambria Math" w:hAnsi="Cambria Math"/>
                    <w:b/>
                    <w:bCs/>
                    <w:i/>
                    <w:sz w:val="20"/>
                    <w:szCs w:val="20"/>
                  </w:rPr>
                </m:ctrlPr>
              </m:radPr>
              <m:deg/>
              <m:e>
                <m:f>
                  <m:fPr>
                    <m:ctrlPr>
                      <w:rPr>
                        <w:rFonts w:ascii="Cambria Math" w:hAnsi="Cambria Math"/>
                        <w:b/>
                        <w:bCs/>
                        <w:i/>
                        <w:sz w:val="20"/>
                        <w:szCs w:val="20"/>
                      </w:rPr>
                    </m:ctrlPr>
                  </m:fPr>
                  <m:num>
                    <m:r>
                      <m:rPr>
                        <m:sty m:val="bi"/>
                      </m:rPr>
                      <w:rPr>
                        <w:rFonts w:ascii="Cambria Math" w:hAnsi="Cambria Math"/>
                        <w:sz w:val="20"/>
                        <w:szCs w:val="20"/>
                      </w:rPr>
                      <m:t>1</m:t>
                    </m:r>
                  </m:num>
                  <m:den>
                    <m:r>
                      <m:rPr>
                        <m:sty m:val="bi"/>
                      </m:rPr>
                      <w:rPr>
                        <w:rFonts w:ascii="Cambria Math" w:hAnsi="Cambria Math"/>
                        <w:sz w:val="20"/>
                        <w:szCs w:val="20"/>
                      </w:rPr>
                      <m:t>6</m:t>
                    </m:r>
                  </m:den>
                </m:f>
              </m:e>
            </m:rad>
            <m:r>
              <m:rPr>
                <m:sty m:val="bi"/>
              </m:rPr>
              <w:rPr>
                <w:rFonts w:ascii="Cambria Math" w:hAnsi="Cambria Math"/>
                <w:sz w:val="20"/>
                <w:szCs w:val="20"/>
              </w:rPr>
              <m:t>,</m:t>
            </m:r>
            <m:rad>
              <m:radPr>
                <m:degHide m:val="1"/>
                <m:ctrlPr>
                  <w:rPr>
                    <w:rFonts w:ascii="Cambria Math" w:hAnsi="Cambria Math"/>
                    <w:b/>
                    <w:bCs/>
                    <w:i/>
                    <w:sz w:val="20"/>
                    <w:szCs w:val="20"/>
                  </w:rPr>
                </m:ctrlPr>
              </m:radPr>
              <m:deg/>
              <m:e>
                <m:f>
                  <m:fPr>
                    <m:ctrlPr>
                      <w:rPr>
                        <w:rFonts w:ascii="Cambria Math" w:hAnsi="Cambria Math"/>
                        <w:b/>
                        <w:bCs/>
                        <w:i/>
                        <w:sz w:val="20"/>
                        <w:szCs w:val="20"/>
                      </w:rPr>
                    </m:ctrlPr>
                  </m:fPr>
                  <m:num>
                    <m:r>
                      <m:rPr>
                        <m:sty m:val="bi"/>
                      </m:rPr>
                      <w:rPr>
                        <w:rFonts w:ascii="Cambria Math" w:hAnsi="Cambria Math"/>
                        <w:sz w:val="20"/>
                        <w:szCs w:val="20"/>
                      </w:rPr>
                      <m:t>1</m:t>
                    </m:r>
                  </m:num>
                  <m:den>
                    <m:r>
                      <m:rPr>
                        <m:sty m:val="bi"/>
                      </m:rPr>
                      <w:rPr>
                        <w:rFonts w:ascii="Cambria Math" w:hAnsi="Cambria Math"/>
                        <w:sz w:val="20"/>
                        <w:szCs w:val="20"/>
                      </w:rPr>
                      <m:t>8</m:t>
                    </m:r>
                  </m:den>
                </m:f>
              </m:e>
            </m:rad>
            <m:r>
              <m:rPr>
                <m:sty m:val="bi"/>
              </m:rPr>
              <w:rPr>
                <w:rFonts w:ascii="Cambria Math" w:hAnsi="Cambria Math"/>
                <w:sz w:val="20"/>
                <w:szCs w:val="20"/>
              </w:rPr>
              <m:t>,</m:t>
            </m:r>
            <m:rad>
              <m:radPr>
                <m:degHide m:val="1"/>
                <m:ctrlPr>
                  <w:rPr>
                    <w:rFonts w:ascii="Cambria Math" w:hAnsi="Cambria Math"/>
                    <w:b/>
                    <w:bCs/>
                    <w:i/>
                    <w:sz w:val="20"/>
                    <w:szCs w:val="20"/>
                  </w:rPr>
                </m:ctrlPr>
              </m:radPr>
              <m:deg/>
              <m:e>
                <m:f>
                  <m:fPr>
                    <m:ctrlPr>
                      <w:rPr>
                        <w:rFonts w:ascii="Cambria Math" w:hAnsi="Cambria Math"/>
                        <w:b/>
                        <w:bCs/>
                        <w:i/>
                        <w:sz w:val="20"/>
                        <w:szCs w:val="20"/>
                      </w:rPr>
                    </m:ctrlPr>
                  </m:fPr>
                  <m:num>
                    <m:r>
                      <m:rPr>
                        <m:sty m:val="bi"/>
                      </m:rPr>
                      <w:rPr>
                        <w:rFonts w:ascii="Cambria Math" w:hAnsi="Cambria Math"/>
                        <w:sz w:val="20"/>
                        <w:szCs w:val="20"/>
                      </w:rPr>
                      <m:t>1</m:t>
                    </m:r>
                  </m:num>
                  <m:den>
                    <m:r>
                      <m:rPr>
                        <m:sty m:val="bi"/>
                      </m:rPr>
                      <w:rPr>
                        <w:rFonts w:ascii="Cambria Math" w:hAnsi="Cambria Math"/>
                        <w:sz w:val="20"/>
                        <w:szCs w:val="20"/>
                      </w:rPr>
                      <m:t>12</m:t>
                    </m:r>
                  </m:den>
                </m:f>
              </m:e>
            </m:rad>
            <m:r>
              <m:rPr>
                <m:sty m:val="bi"/>
              </m:rPr>
              <w:rPr>
                <w:rFonts w:ascii="Cambria Math" w:hAnsi="Cambria Math"/>
                <w:sz w:val="20"/>
                <w:szCs w:val="20"/>
              </w:rPr>
              <m:t>,</m:t>
            </m:r>
            <m:rad>
              <m:radPr>
                <m:degHide m:val="1"/>
                <m:ctrlPr>
                  <w:rPr>
                    <w:rFonts w:ascii="Cambria Math" w:hAnsi="Cambria Math"/>
                    <w:b/>
                    <w:bCs/>
                    <w:i/>
                    <w:sz w:val="20"/>
                    <w:szCs w:val="20"/>
                  </w:rPr>
                </m:ctrlPr>
              </m:radPr>
              <m:deg/>
              <m:e>
                <m:f>
                  <m:fPr>
                    <m:ctrlPr>
                      <w:rPr>
                        <w:rFonts w:ascii="Cambria Math" w:hAnsi="Cambria Math"/>
                        <w:b/>
                        <w:bCs/>
                        <w:i/>
                        <w:sz w:val="20"/>
                        <w:szCs w:val="20"/>
                      </w:rPr>
                    </m:ctrlPr>
                  </m:fPr>
                  <m:num>
                    <m:r>
                      <m:rPr>
                        <m:sty m:val="bi"/>
                      </m:rPr>
                      <w:rPr>
                        <w:rFonts w:ascii="Cambria Math" w:hAnsi="Cambria Math"/>
                        <w:sz w:val="20"/>
                        <w:szCs w:val="20"/>
                      </w:rPr>
                      <m:t>1</m:t>
                    </m:r>
                  </m:num>
                  <m:den>
                    <m:r>
                      <m:rPr>
                        <m:sty m:val="bi"/>
                      </m:rPr>
                      <w:rPr>
                        <w:rFonts w:ascii="Cambria Math" w:hAnsi="Cambria Math"/>
                        <w:sz w:val="20"/>
                        <w:szCs w:val="20"/>
                      </w:rPr>
                      <m:t>16</m:t>
                    </m:r>
                  </m:den>
                </m:f>
              </m:e>
            </m:rad>
          </m:e>
        </m:d>
        <m:r>
          <m:rPr>
            <m:sty m:val="bi"/>
          </m:rPr>
          <w:rPr>
            <w:rFonts w:ascii="Cambria Math" w:hAnsi="Cambria Math"/>
            <w:sz w:val="20"/>
            <w:szCs w:val="20"/>
          </w:rPr>
          <m:t xml:space="preserve"> </m:t>
        </m:r>
      </m:oMath>
      <w:r w:rsidRPr="00EE70F0">
        <w:rPr>
          <w:rFonts w:eastAsia="Malgun Gothic"/>
          <w:b/>
          <w:bCs/>
          <w:i/>
          <w:sz w:val="20"/>
          <w:szCs w:val="20"/>
        </w:rPr>
        <w:t xml:space="preserve"> is the scaling factor associated with the </w:t>
      </w:r>
      <m:oMath>
        <m:sSup>
          <m:sSupPr>
            <m:ctrlPr>
              <w:rPr>
                <w:rFonts w:ascii="Cambria Math" w:eastAsia="Malgun Gothic" w:hAnsi="Cambria Math"/>
                <w:b/>
                <w:bCs/>
                <w:i/>
                <w:sz w:val="20"/>
                <w:szCs w:val="20"/>
              </w:rPr>
            </m:ctrlPr>
          </m:sSupPr>
          <m:e>
            <m:r>
              <m:rPr>
                <m:sty m:val="bi"/>
              </m:rPr>
              <w:rPr>
                <w:rFonts w:ascii="Cambria Math" w:eastAsia="Malgun Gothic" w:hAnsi="Cambria Math"/>
                <w:sz w:val="20"/>
                <w:szCs w:val="20"/>
              </w:rPr>
              <m:t>i</m:t>
            </m:r>
          </m:e>
          <m:sup>
            <m:r>
              <m:rPr>
                <m:sty m:val="bi"/>
              </m:rPr>
              <w:rPr>
                <w:rFonts w:ascii="Cambria Math" w:eastAsia="Malgun Gothic" w:hAnsi="Cambria Math"/>
                <w:sz w:val="20"/>
                <w:szCs w:val="20"/>
              </w:rPr>
              <m:t>th</m:t>
            </m:r>
          </m:sup>
        </m:sSup>
      </m:oMath>
      <w:r w:rsidRPr="00EE70F0">
        <w:rPr>
          <w:rFonts w:eastAsia="Malgun Gothic"/>
          <w:b/>
          <w:bCs/>
          <w:i/>
          <w:sz w:val="20"/>
          <w:szCs w:val="20"/>
        </w:rPr>
        <w:t xml:space="preserve"> SD basis vector, and </w:t>
      </w:r>
      <m:oMath>
        <m:sSub>
          <m:sSubPr>
            <m:ctrlPr>
              <w:rPr>
                <w:rFonts w:ascii="Cambria Math" w:eastAsia="Malgun Gothic" w:hAnsi="Cambria Math"/>
                <w:b/>
                <w:bCs/>
                <w:i/>
                <w:sz w:val="20"/>
                <w:szCs w:val="20"/>
                <w:lang w:eastAsia="ja-JP"/>
              </w:rPr>
            </m:ctrlPr>
          </m:sSubPr>
          <m:e>
            <m:r>
              <m:rPr>
                <m:sty m:val="bi"/>
              </m:rPr>
              <w:rPr>
                <w:rFonts w:ascii="Cambria Math" w:eastAsia="Malgun Gothic" w:hAnsi="Cambria Math"/>
                <w:sz w:val="20"/>
                <w:szCs w:val="20"/>
                <w:lang w:eastAsia="ja-JP"/>
              </w:rPr>
              <m:t>r</m:t>
            </m:r>
          </m:e>
          <m:sub>
            <m:r>
              <m:rPr>
                <m:sty m:val="bi"/>
              </m:rPr>
              <w:rPr>
                <w:rFonts w:ascii="Cambria Math" w:eastAsia="Malgun Gothic" w:hAnsi="Cambria Math"/>
                <w:sz w:val="20"/>
                <w:szCs w:val="20"/>
                <w:lang w:eastAsia="ja-JP"/>
              </w:rPr>
              <m:t>i</m:t>
            </m:r>
          </m:sub>
        </m:sSub>
        <m:r>
          <m:rPr>
            <m:sty m:val="bi"/>
          </m:rPr>
          <w:rPr>
            <w:rFonts w:ascii="Cambria Math" w:eastAsia="Malgun Gothic" w:hAnsi="Cambria Math"/>
            <w:sz w:val="20"/>
            <w:szCs w:val="20"/>
            <w:lang w:eastAsia="ja-JP"/>
          </w:rPr>
          <m:t>∈</m:t>
        </m:r>
        <m:d>
          <m:dPr>
            <m:begChr m:val="{"/>
            <m:endChr m:val="}"/>
            <m:ctrlPr>
              <w:rPr>
                <w:rFonts w:ascii="Cambria Math" w:eastAsia="Malgun Gothic" w:hAnsi="Cambria Math"/>
                <w:b/>
                <w:bCs/>
                <w:i/>
                <w:sz w:val="20"/>
                <w:szCs w:val="20"/>
              </w:rPr>
            </m:ctrlPr>
          </m:dPr>
          <m:e>
            <m:r>
              <m:rPr>
                <m:sty m:val="bi"/>
              </m:rPr>
              <w:rPr>
                <w:rFonts w:ascii="Cambria Math" w:eastAsia="Malgun Gothic" w:hAnsi="Cambria Math"/>
                <w:sz w:val="20"/>
                <w:szCs w:val="20"/>
              </w:rPr>
              <m:t>1,2</m:t>
            </m:r>
          </m:e>
        </m:d>
      </m:oMath>
      <w:r w:rsidRPr="00EE70F0">
        <w:rPr>
          <w:rFonts w:eastAsia="Malgun Gothic"/>
          <w:b/>
          <w:bCs/>
          <w:i/>
          <w:sz w:val="20"/>
          <w:szCs w:val="20"/>
          <w:lang w:eastAsia="ja-JP"/>
        </w:rPr>
        <w:t xml:space="preserve"> is the number of layers transmitted using the </w:t>
      </w:r>
      <m:oMath>
        <m:sSup>
          <m:sSupPr>
            <m:ctrlPr>
              <w:rPr>
                <w:rFonts w:ascii="Cambria Math" w:eastAsia="Malgun Gothic" w:hAnsi="Cambria Math"/>
                <w:b/>
                <w:bCs/>
                <w:i/>
                <w:sz w:val="20"/>
                <w:szCs w:val="20"/>
                <w:lang w:eastAsia="ja-JP"/>
              </w:rPr>
            </m:ctrlPr>
          </m:sSupPr>
          <m:e>
            <m:r>
              <m:rPr>
                <m:sty m:val="bi"/>
              </m:rPr>
              <w:rPr>
                <w:rFonts w:ascii="Cambria Math" w:eastAsia="Malgun Gothic" w:hAnsi="Cambria Math"/>
                <w:sz w:val="20"/>
                <w:szCs w:val="20"/>
                <w:lang w:eastAsia="ja-JP"/>
              </w:rPr>
              <m:t>i</m:t>
            </m:r>
          </m:e>
          <m:sup>
            <m:r>
              <m:rPr>
                <m:sty m:val="bi"/>
              </m:rPr>
              <w:rPr>
                <w:rFonts w:ascii="Cambria Math" w:eastAsia="Malgun Gothic" w:hAnsi="Cambria Math"/>
                <w:sz w:val="20"/>
                <w:szCs w:val="20"/>
                <w:lang w:eastAsia="ja-JP"/>
              </w:rPr>
              <m:t>th</m:t>
            </m:r>
          </m:sup>
        </m:sSup>
      </m:oMath>
      <w:r w:rsidRPr="00EE70F0">
        <w:rPr>
          <w:rFonts w:eastAsia="Malgun Gothic"/>
          <w:b/>
          <w:bCs/>
          <w:i/>
          <w:sz w:val="20"/>
          <w:szCs w:val="20"/>
          <w:lang w:eastAsia="ja-JP"/>
        </w:rPr>
        <w:t xml:space="preserve"> SD basis vector.</w:t>
      </w:r>
    </w:p>
    <w:p w:rsidR="00577F1E" w:rsidRPr="00EE70F0" w:rsidRDefault="00577F1E" w:rsidP="00577F1E">
      <w:pPr>
        <w:widowControl w:val="0"/>
        <w:numPr>
          <w:ilvl w:val="0"/>
          <w:numId w:val="835"/>
        </w:numPr>
        <w:snapToGrid w:val="0"/>
        <w:rPr>
          <w:b/>
          <w:bCs/>
          <w:i/>
          <w:sz w:val="20"/>
          <w:szCs w:val="20"/>
        </w:rPr>
      </w:pPr>
      <w:r w:rsidRPr="00EE70F0">
        <w:rPr>
          <w:b/>
          <w:bCs/>
          <w:i/>
          <w:sz w:val="20"/>
          <w:szCs w:val="20"/>
        </w:rPr>
        <w:t>Note: This feature is a separate UE capability</w:t>
      </w:r>
    </w:p>
    <w:p w:rsidR="00577F1E" w:rsidRPr="00EE70F0" w:rsidRDefault="00577F1E" w:rsidP="00577F1E">
      <w:pPr>
        <w:widowControl w:val="0"/>
        <w:numPr>
          <w:ilvl w:val="1"/>
          <w:numId w:val="835"/>
        </w:numPr>
        <w:snapToGrid w:val="0"/>
        <w:rPr>
          <w:b/>
          <w:bCs/>
          <w:i/>
          <w:color w:val="FF0000"/>
          <w:sz w:val="20"/>
          <w:szCs w:val="20"/>
        </w:rPr>
      </w:pPr>
      <w:r w:rsidRPr="00EE70F0">
        <w:rPr>
          <w:b/>
          <w:bCs/>
          <w:i/>
          <w:color w:val="FF0000"/>
          <w:sz w:val="20"/>
          <w:szCs w:val="20"/>
        </w:rPr>
        <w:t>An RRC parameter is introduced to enable whether the power scaling for rank&gt;1 is enabled or not</w:t>
      </w:r>
    </w:p>
    <w:p w:rsidR="00577F1E" w:rsidRPr="00577F1E" w:rsidRDefault="00577F1E" w:rsidP="00577F1E">
      <w:pPr>
        <w:widowControl w:val="0"/>
        <w:numPr>
          <w:ilvl w:val="0"/>
          <w:numId w:val="835"/>
        </w:numPr>
        <w:snapToGrid w:val="0"/>
        <w:rPr>
          <w:b/>
          <w:bCs/>
          <w:i/>
          <w:color w:val="FF0000"/>
          <w:sz w:val="20"/>
          <w:szCs w:val="20"/>
        </w:rPr>
      </w:pPr>
      <w:r w:rsidRPr="00EE70F0">
        <w:rPr>
          <w:b/>
          <w:bCs/>
          <w:i/>
          <w:color w:val="FF0000"/>
          <w:sz w:val="20"/>
          <w:szCs w:val="20"/>
        </w:rPr>
        <w:t xml:space="preserve">For L layers based on power scaling factor 1, support power boosting for each of the L layers as </w:t>
      </w:r>
      <m:oMath>
        <m:f>
          <m:fPr>
            <m:ctrlPr>
              <w:rPr>
                <w:rFonts w:ascii="Cambria Math" w:hAnsi="Cambria Math"/>
                <w:b/>
                <w:bCs/>
                <w:i/>
                <w:color w:val="FF0000"/>
                <w:sz w:val="20"/>
                <w:szCs w:val="20"/>
              </w:rPr>
            </m:ctrlPr>
          </m:fPr>
          <m:num>
            <m:r>
              <m:rPr>
                <m:sty m:val="bi"/>
              </m:rPr>
              <w:rPr>
                <w:rFonts w:ascii="Cambria Math" w:hAnsi="Cambria Math"/>
                <w:color w:val="FF0000"/>
                <w:sz w:val="20"/>
                <w:szCs w:val="20"/>
              </w:rPr>
              <m:t>1-</m:t>
            </m:r>
            <m:sSub>
              <m:sSubPr>
                <m:ctrlPr>
                  <w:rPr>
                    <w:rFonts w:ascii="Cambria Math" w:hAnsi="Cambria Math"/>
                    <w:b/>
                    <w:bCs/>
                    <w:i/>
                    <w:color w:val="FF0000"/>
                    <w:sz w:val="20"/>
                    <w:szCs w:val="20"/>
                  </w:rPr>
                </m:ctrlPr>
              </m:sSubPr>
              <m:e>
                <m:r>
                  <m:rPr>
                    <m:sty m:val="bi"/>
                  </m:rPr>
                  <w:rPr>
                    <w:rFonts w:ascii="Cambria Math" w:hAnsi="Cambria Math"/>
                    <w:color w:val="FF0000"/>
                    <w:sz w:val="20"/>
                    <w:szCs w:val="20"/>
                  </w:rPr>
                  <m:t>P</m:t>
                </m:r>
              </m:e>
              <m:sub>
                <m:r>
                  <m:rPr>
                    <m:sty m:val="bi"/>
                  </m:rPr>
                  <w:rPr>
                    <w:rFonts w:ascii="Cambria Math" w:hAnsi="Cambria Math"/>
                    <w:color w:val="FF0000"/>
                    <w:sz w:val="20"/>
                    <w:szCs w:val="20"/>
                  </w:rPr>
                  <m:t>scale</m:t>
                </m:r>
              </m:sub>
            </m:sSub>
          </m:num>
          <m:den>
            <m:r>
              <m:rPr>
                <m:sty m:val="bi"/>
              </m:rPr>
              <w:rPr>
                <w:rFonts w:ascii="Cambria Math" w:hAnsi="Cambria Math"/>
                <w:color w:val="FF0000"/>
                <w:sz w:val="20"/>
                <w:szCs w:val="20"/>
              </w:rPr>
              <m:t>L</m:t>
            </m:r>
          </m:den>
        </m:f>
      </m:oMath>
      <w:r w:rsidRPr="00EE70F0">
        <w:rPr>
          <w:b/>
          <w:bCs/>
          <w:i/>
          <w:color w:val="FF0000"/>
          <w:sz w:val="20"/>
          <w:szCs w:val="20"/>
        </w:rPr>
        <w:t xml:space="preserve">, where </w:t>
      </w:r>
      <m:oMath>
        <m:sSub>
          <m:sSubPr>
            <m:ctrlPr>
              <w:rPr>
                <w:rFonts w:ascii="Cambria Math" w:hAnsi="Cambria Math"/>
                <w:b/>
                <w:bCs/>
                <w:i/>
                <w:color w:val="FF0000"/>
                <w:sz w:val="20"/>
                <w:szCs w:val="20"/>
              </w:rPr>
            </m:ctrlPr>
          </m:sSubPr>
          <m:e>
            <m:r>
              <m:rPr>
                <m:sty m:val="bi"/>
              </m:rPr>
              <w:rPr>
                <w:rFonts w:ascii="Cambria Math" w:hAnsi="Cambria Math"/>
                <w:color w:val="FF0000"/>
                <w:sz w:val="20"/>
                <w:szCs w:val="20"/>
              </w:rPr>
              <m:t>P</m:t>
            </m:r>
          </m:e>
          <m:sub>
            <m:r>
              <m:rPr>
                <m:sty m:val="bi"/>
              </m:rPr>
              <w:rPr>
                <w:rFonts w:ascii="Cambria Math" w:hAnsi="Cambria Math"/>
                <w:color w:val="FF0000"/>
                <w:sz w:val="20"/>
                <w:szCs w:val="20"/>
              </w:rPr>
              <m:t>scale</m:t>
            </m:r>
          </m:sub>
        </m:sSub>
      </m:oMath>
      <w:r w:rsidRPr="00EE70F0">
        <w:rPr>
          <w:b/>
          <w:bCs/>
          <w:i/>
          <w:color w:val="FF0000"/>
          <w:sz w:val="20"/>
          <w:szCs w:val="20"/>
        </w:rPr>
        <w:t xml:space="preserve"> is the total scaled power for the layers based on power scaling factor smaller than 1</w:t>
      </w:r>
    </w:p>
    <w:p w:rsidR="00577F1E" w:rsidRPr="006C0DF8" w:rsidRDefault="00577F1E" w:rsidP="00577F1E">
      <w:pPr>
        <w:pStyle w:val="0Maintext"/>
        <w:spacing w:after="120" w:afterAutospacing="0" w:line="240" w:lineRule="auto"/>
        <w:ind w:firstLine="0"/>
        <w:rPr>
          <w:b/>
          <w:bCs/>
          <w:i/>
          <w:iCs/>
          <w:lang w:val="en-US" w:eastAsia="zh-CN"/>
        </w:rPr>
      </w:pPr>
      <w:r w:rsidRPr="006C0DF8">
        <w:rPr>
          <w:b/>
          <w:bCs/>
          <w:i/>
          <w:iCs/>
          <w:lang w:val="en-US" w:eastAsia="zh-CN"/>
        </w:rPr>
        <w:t xml:space="preserve">Proposal 3: For Type1 SD-NES based on </w:t>
      </w:r>
      <w:r w:rsidRPr="006C0DF8">
        <w:rPr>
          <w:rFonts w:hint="eastAsia"/>
          <w:b/>
          <w:bCs/>
          <w:i/>
          <w:iCs/>
          <w:lang w:val="en-US" w:eastAsia="zh-CN"/>
        </w:rPr>
        <w:t>u</w:t>
      </w:r>
      <w:r w:rsidRPr="006C0DF8">
        <w:rPr>
          <w:b/>
          <w:bCs/>
          <w:i/>
          <w:iCs/>
          <w:lang w:val="en-US" w:eastAsia="zh-CN"/>
        </w:rPr>
        <w:t xml:space="preserve">p to 128 ports CSI, support to configure the 3-bit power scaling factor per CSI report sub-configuration. </w:t>
      </w:r>
    </w:p>
    <w:p w:rsidR="00577F1E" w:rsidRPr="00AC628B" w:rsidRDefault="00577F1E" w:rsidP="00577F1E">
      <w:pPr>
        <w:pStyle w:val="0Maintext"/>
        <w:spacing w:after="120" w:afterAutospacing="0" w:line="240" w:lineRule="auto"/>
        <w:ind w:firstLine="0"/>
        <w:rPr>
          <w:b/>
          <w:bCs/>
          <w:i/>
          <w:iCs/>
          <w:lang w:val="en-US" w:eastAsia="zh-CN"/>
        </w:rPr>
      </w:pPr>
      <w:r w:rsidRPr="00AC628B">
        <w:rPr>
          <w:b/>
          <w:bCs/>
          <w:i/>
          <w:iCs/>
          <w:lang w:val="en-US" w:eastAsia="zh-CN"/>
        </w:rPr>
        <w:t xml:space="preserve">Proposal </w:t>
      </w:r>
      <w:r>
        <w:rPr>
          <w:b/>
          <w:bCs/>
          <w:i/>
          <w:iCs/>
          <w:lang w:val="en-US" w:eastAsia="zh-CN"/>
        </w:rPr>
        <w:t>4</w:t>
      </w:r>
      <w:r w:rsidRPr="00AC628B">
        <w:rPr>
          <w:b/>
          <w:bCs/>
          <w:i/>
          <w:iCs/>
          <w:lang w:val="en-US" w:eastAsia="zh-CN"/>
        </w:rPr>
        <w:t>: For the TRSs configured for DO report, support the NW configure the TCI states for the TRSs based on the following schemes:</w:t>
      </w:r>
    </w:p>
    <w:p w:rsidR="00577F1E" w:rsidRPr="00AC628B" w:rsidRDefault="00577F1E" w:rsidP="00577F1E">
      <w:pPr>
        <w:pStyle w:val="0Maintext"/>
        <w:numPr>
          <w:ilvl w:val="0"/>
          <w:numId w:val="645"/>
        </w:numPr>
        <w:spacing w:after="120" w:afterAutospacing="0" w:line="240" w:lineRule="auto"/>
        <w:rPr>
          <w:b/>
          <w:bCs/>
          <w:i/>
          <w:iCs/>
          <w:lang w:val="en-US" w:eastAsia="zh-CN"/>
        </w:rPr>
      </w:pPr>
      <w:r w:rsidRPr="00AC628B">
        <w:rPr>
          <w:b/>
          <w:bCs/>
          <w:i/>
          <w:iCs/>
          <w:lang w:val="en-US" w:eastAsia="zh-CN"/>
        </w:rPr>
        <w:t>Scheme 1 (Without pre-compensation of FO): Separate TCI state for each TRS</w:t>
      </w:r>
    </w:p>
    <w:p w:rsidR="00577F1E" w:rsidRPr="00AC628B" w:rsidRDefault="00577F1E" w:rsidP="00577F1E">
      <w:pPr>
        <w:pStyle w:val="0Maintext"/>
        <w:numPr>
          <w:ilvl w:val="0"/>
          <w:numId w:val="645"/>
        </w:numPr>
        <w:spacing w:after="120" w:afterAutospacing="0" w:line="240" w:lineRule="auto"/>
        <w:rPr>
          <w:b/>
          <w:bCs/>
          <w:i/>
          <w:iCs/>
          <w:lang w:val="en-US" w:eastAsia="zh-CN"/>
        </w:rPr>
      </w:pPr>
      <w:r w:rsidRPr="00AC628B">
        <w:rPr>
          <w:b/>
          <w:bCs/>
          <w:i/>
          <w:iCs/>
          <w:lang w:val="en-US" w:eastAsia="zh-CN"/>
        </w:rPr>
        <w:t xml:space="preserve">Scheme 2 (With pre-compensation of FO): All the TRSs are configured with a common TCI state for </w:t>
      </w:r>
      <w:r>
        <w:rPr>
          <w:b/>
          <w:bCs/>
          <w:i/>
          <w:iCs/>
          <w:lang w:val="en-US" w:eastAsia="zh-CN"/>
        </w:rPr>
        <w:t>QCL-TypeC indication without average delay</w:t>
      </w:r>
      <w:r w:rsidRPr="00AC628B">
        <w:rPr>
          <w:b/>
          <w:bCs/>
          <w:i/>
          <w:iCs/>
          <w:lang w:val="en-US" w:eastAsia="zh-CN"/>
        </w:rPr>
        <w:t xml:space="preserve">, and each TRS is configured with a separate TCI state for </w:t>
      </w:r>
      <w:r>
        <w:rPr>
          <w:b/>
          <w:bCs/>
          <w:i/>
          <w:iCs/>
          <w:lang w:val="en-US" w:eastAsia="zh-CN"/>
        </w:rPr>
        <w:t>QCL-TypeC indication without Doppler shift</w:t>
      </w:r>
    </w:p>
    <w:p w:rsidR="00577F1E" w:rsidRPr="00AC628B" w:rsidRDefault="00577F1E" w:rsidP="00577F1E">
      <w:pPr>
        <w:pStyle w:val="0Maintext"/>
        <w:spacing w:after="120" w:afterAutospacing="0" w:line="240" w:lineRule="auto"/>
        <w:ind w:firstLine="0"/>
        <w:rPr>
          <w:b/>
          <w:bCs/>
          <w:i/>
          <w:iCs/>
          <w:lang w:val="en-US" w:eastAsia="zh-CN"/>
        </w:rPr>
      </w:pPr>
      <w:r w:rsidRPr="00AC628B">
        <w:rPr>
          <w:b/>
          <w:bCs/>
          <w:i/>
          <w:iCs/>
          <w:lang w:val="en-US" w:eastAsia="zh-CN"/>
        </w:rPr>
        <w:t xml:space="preserve">Proposal </w:t>
      </w:r>
      <w:r>
        <w:rPr>
          <w:b/>
          <w:bCs/>
          <w:i/>
          <w:iCs/>
          <w:lang w:val="en-US" w:eastAsia="zh-CN"/>
        </w:rPr>
        <w:t>5</w:t>
      </w:r>
      <w:r w:rsidRPr="00AC628B">
        <w:rPr>
          <w:b/>
          <w:bCs/>
          <w:i/>
          <w:iCs/>
          <w:lang w:val="en-US" w:eastAsia="zh-CN"/>
        </w:rPr>
        <w:t>: For the TRSs configured for FO report, support the NW configure the TCI states for the TRSs based on the following schemes:</w:t>
      </w:r>
    </w:p>
    <w:p w:rsidR="00577F1E" w:rsidRPr="00AC628B" w:rsidRDefault="00577F1E" w:rsidP="00577F1E">
      <w:pPr>
        <w:pStyle w:val="0Maintext"/>
        <w:numPr>
          <w:ilvl w:val="0"/>
          <w:numId w:val="645"/>
        </w:numPr>
        <w:spacing w:after="120" w:afterAutospacing="0" w:line="240" w:lineRule="auto"/>
        <w:rPr>
          <w:b/>
          <w:bCs/>
          <w:i/>
          <w:iCs/>
          <w:lang w:val="en-US" w:eastAsia="zh-CN"/>
        </w:rPr>
      </w:pPr>
      <w:r w:rsidRPr="00AC628B">
        <w:rPr>
          <w:b/>
          <w:bCs/>
          <w:i/>
          <w:iCs/>
          <w:lang w:val="en-US" w:eastAsia="zh-CN"/>
        </w:rPr>
        <w:t>Scheme 1 (Without pre-compensation of DO): Separate TCI state for each TRS</w:t>
      </w:r>
    </w:p>
    <w:p w:rsidR="00577F1E" w:rsidRPr="00577F1E" w:rsidRDefault="00577F1E" w:rsidP="00577F1E">
      <w:pPr>
        <w:pStyle w:val="0Maintext"/>
        <w:numPr>
          <w:ilvl w:val="0"/>
          <w:numId w:val="645"/>
        </w:numPr>
        <w:spacing w:after="120" w:afterAutospacing="0" w:line="240" w:lineRule="auto"/>
        <w:rPr>
          <w:b/>
          <w:bCs/>
          <w:i/>
          <w:iCs/>
          <w:lang w:val="en-US" w:eastAsia="zh-CN"/>
        </w:rPr>
      </w:pPr>
      <w:r w:rsidRPr="00AC628B">
        <w:rPr>
          <w:b/>
          <w:bCs/>
          <w:i/>
          <w:iCs/>
          <w:lang w:val="en-US" w:eastAsia="zh-CN"/>
        </w:rPr>
        <w:t xml:space="preserve">Scheme 2 (With pre-compensation of DO): All the TRSs are configured with a common TCI state for </w:t>
      </w:r>
      <w:r>
        <w:rPr>
          <w:b/>
          <w:bCs/>
          <w:i/>
          <w:iCs/>
          <w:lang w:val="en-US" w:eastAsia="zh-CN"/>
        </w:rPr>
        <w:t>QCL-TypeC indication without Doppler shift</w:t>
      </w:r>
      <w:r w:rsidRPr="00AC628B">
        <w:rPr>
          <w:b/>
          <w:bCs/>
          <w:i/>
          <w:iCs/>
          <w:lang w:val="en-US" w:eastAsia="zh-CN"/>
        </w:rPr>
        <w:t xml:space="preserve">, and each TRS is configured with a separate TCI state for </w:t>
      </w:r>
      <w:r>
        <w:rPr>
          <w:b/>
          <w:bCs/>
          <w:i/>
          <w:iCs/>
          <w:lang w:val="en-US" w:eastAsia="zh-CN"/>
        </w:rPr>
        <w:t>QCL-TypeC indication without average delay</w:t>
      </w:r>
    </w:p>
    <w:p w:rsidR="00577F1E" w:rsidRPr="00AC628B" w:rsidRDefault="00577F1E" w:rsidP="00577F1E">
      <w:pPr>
        <w:pStyle w:val="0Maintext"/>
        <w:spacing w:after="120" w:afterAutospacing="0" w:line="240" w:lineRule="auto"/>
        <w:ind w:firstLine="0"/>
        <w:rPr>
          <w:b/>
          <w:bCs/>
          <w:i/>
          <w:iCs/>
          <w:lang w:val="en-US" w:eastAsia="zh-CN"/>
        </w:rPr>
      </w:pPr>
      <w:r w:rsidRPr="00AC628B">
        <w:rPr>
          <w:b/>
          <w:bCs/>
          <w:i/>
          <w:iCs/>
          <w:lang w:val="en-US" w:eastAsia="zh-CN"/>
        </w:rPr>
        <w:t xml:space="preserve">Proposal </w:t>
      </w:r>
      <w:r>
        <w:rPr>
          <w:b/>
          <w:bCs/>
          <w:i/>
          <w:iCs/>
          <w:lang w:val="en-US" w:eastAsia="zh-CN"/>
        </w:rPr>
        <w:t>6</w:t>
      </w:r>
      <w:r w:rsidRPr="00AC628B">
        <w:rPr>
          <w:b/>
          <w:bCs/>
          <w:i/>
          <w:iCs/>
          <w:lang w:val="en-US" w:eastAsia="zh-CN"/>
        </w:rPr>
        <w:t>: For PO report, support the following constraints for the single-port CSI-RS resources configured as CMR:</w:t>
      </w:r>
    </w:p>
    <w:p w:rsidR="00577F1E" w:rsidRPr="00AC628B" w:rsidRDefault="00577F1E" w:rsidP="00577F1E">
      <w:pPr>
        <w:pStyle w:val="0Maintext"/>
        <w:numPr>
          <w:ilvl w:val="0"/>
          <w:numId w:val="821"/>
        </w:numPr>
        <w:spacing w:after="120" w:afterAutospacing="0" w:line="240" w:lineRule="auto"/>
        <w:rPr>
          <w:b/>
          <w:bCs/>
          <w:i/>
          <w:iCs/>
          <w:lang w:val="en-US" w:eastAsia="zh-CN"/>
        </w:rPr>
      </w:pPr>
      <w:r w:rsidRPr="00AC628B">
        <w:rPr>
          <w:b/>
          <w:bCs/>
          <w:i/>
          <w:iCs/>
          <w:lang w:val="en-US" w:eastAsia="zh-CN"/>
        </w:rPr>
        <w:t>The minimum bandwidth for the single-port CSI-RS should be min(52, N</w:t>
      </w:r>
      <w:r w:rsidRPr="00AC628B">
        <w:rPr>
          <w:b/>
          <w:bCs/>
          <w:i/>
          <w:iCs/>
          <w:vertAlign w:val="subscript"/>
          <w:lang w:val="en-US" w:eastAsia="zh-CN"/>
        </w:rPr>
        <w:t>BWP</w:t>
      </w:r>
      <w:r w:rsidRPr="00AC628B">
        <w:rPr>
          <w:b/>
          <w:bCs/>
          <w:i/>
          <w:iCs/>
          <w:lang w:val="en-US" w:eastAsia="zh-CN"/>
        </w:rPr>
        <w:t>) RBs, where N</w:t>
      </w:r>
      <w:r w:rsidRPr="00AC628B">
        <w:rPr>
          <w:b/>
          <w:bCs/>
          <w:i/>
          <w:iCs/>
          <w:vertAlign w:val="subscript"/>
          <w:lang w:val="en-US" w:eastAsia="zh-CN"/>
        </w:rPr>
        <w:t>BWP</w:t>
      </w:r>
      <w:r w:rsidRPr="00AC628B">
        <w:rPr>
          <w:b/>
          <w:bCs/>
          <w:i/>
          <w:iCs/>
          <w:lang w:val="en-US" w:eastAsia="zh-CN"/>
        </w:rPr>
        <w:t xml:space="preserve"> is the number of RBs for the active DL BWP</w:t>
      </w:r>
    </w:p>
    <w:p w:rsidR="00577F1E" w:rsidRPr="00577F1E" w:rsidRDefault="00577F1E" w:rsidP="00577F1E">
      <w:pPr>
        <w:pStyle w:val="0Maintext"/>
        <w:numPr>
          <w:ilvl w:val="0"/>
          <w:numId w:val="821"/>
        </w:numPr>
        <w:spacing w:after="120" w:afterAutospacing="0" w:line="240" w:lineRule="auto"/>
        <w:rPr>
          <w:b/>
          <w:bCs/>
          <w:i/>
          <w:iCs/>
          <w:lang w:val="en-US" w:eastAsia="zh-CN"/>
        </w:rPr>
      </w:pPr>
      <w:r w:rsidRPr="00AC628B">
        <w:rPr>
          <w:b/>
          <w:bCs/>
          <w:i/>
          <w:iCs/>
          <w:lang w:val="en-US" w:eastAsia="zh-CN"/>
        </w:rPr>
        <w:t xml:space="preserve">The frequency domain density </w:t>
      </w:r>
      <w:r>
        <w:rPr>
          <w:b/>
          <w:bCs/>
          <w:i/>
          <w:iCs/>
          <w:lang w:val="en-US" w:eastAsia="zh-CN"/>
        </w:rPr>
        <w:t>should be</w:t>
      </w:r>
      <w:r w:rsidRPr="00AC628B">
        <w:rPr>
          <w:b/>
          <w:bCs/>
          <w:i/>
          <w:iCs/>
          <w:lang w:val="en-US" w:eastAsia="zh-CN"/>
        </w:rPr>
        <w:t xml:space="preserve"> 3 REs/RB</w:t>
      </w:r>
    </w:p>
    <w:p w:rsidR="00577F1E" w:rsidRPr="00AC628B" w:rsidRDefault="00577F1E" w:rsidP="00577F1E">
      <w:pPr>
        <w:pStyle w:val="0Maintext"/>
        <w:spacing w:after="120" w:afterAutospacing="0" w:line="240" w:lineRule="auto"/>
        <w:ind w:firstLine="0"/>
        <w:rPr>
          <w:b/>
          <w:bCs/>
          <w:i/>
          <w:iCs/>
          <w:lang w:val="en-US" w:eastAsia="zh-CN"/>
        </w:rPr>
      </w:pPr>
      <w:r w:rsidRPr="00AC628B">
        <w:rPr>
          <w:b/>
          <w:bCs/>
          <w:i/>
          <w:iCs/>
          <w:lang w:val="en-US" w:eastAsia="zh-CN"/>
        </w:rPr>
        <w:t xml:space="preserve">Proposal </w:t>
      </w:r>
      <w:r>
        <w:rPr>
          <w:b/>
          <w:bCs/>
          <w:i/>
          <w:iCs/>
          <w:lang w:val="en-US" w:eastAsia="zh-CN"/>
        </w:rPr>
        <w:t>7</w:t>
      </w:r>
      <w:r w:rsidRPr="00AC628B">
        <w:rPr>
          <w:b/>
          <w:bCs/>
          <w:i/>
          <w:iCs/>
          <w:lang w:val="en-US" w:eastAsia="zh-CN"/>
        </w:rPr>
        <w:t xml:space="preserve">: For the </w:t>
      </w:r>
      <w:r>
        <w:rPr>
          <w:b/>
          <w:bCs/>
          <w:i/>
          <w:iCs/>
          <w:lang w:val="en-US" w:eastAsia="zh-CN"/>
        </w:rPr>
        <w:t>single-port CSI-RS resources</w:t>
      </w:r>
      <w:r w:rsidRPr="00AC628B">
        <w:rPr>
          <w:b/>
          <w:bCs/>
          <w:i/>
          <w:iCs/>
          <w:lang w:val="en-US" w:eastAsia="zh-CN"/>
        </w:rPr>
        <w:t xml:space="preserve"> configured for FO report, support the NW configure the TCI states for the </w:t>
      </w:r>
      <w:r>
        <w:rPr>
          <w:b/>
          <w:bCs/>
          <w:i/>
          <w:iCs/>
          <w:lang w:val="en-US" w:eastAsia="zh-CN"/>
        </w:rPr>
        <w:t>CSI-RS resources</w:t>
      </w:r>
      <w:r w:rsidRPr="00AC628B">
        <w:rPr>
          <w:b/>
          <w:bCs/>
          <w:i/>
          <w:iCs/>
          <w:lang w:val="en-US" w:eastAsia="zh-CN"/>
        </w:rPr>
        <w:t xml:space="preserve"> based on the following schemes:</w:t>
      </w:r>
    </w:p>
    <w:p w:rsidR="00577F1E" w:rsidRPr="00AC628B" w:rsidRDefault="00577F1E" w:rsidP="00577F1E">
      <w:pPr>
        <w:pStyle w:val="0Maintext"/>
        <w:numPr>
          <w:ilvl w:val="0"/>
          <w:numId w:val="645"/>
        </w:numPr>
        <w:spacing w:after="120" w:afterAutospacing="0" w:line="240" w:lineRule="auto"/>
        <w:rPr>
          <w:b/>
          <w:bCs/>
          <w:i/>
          <w:iCs/>
          <w:lang w:val="en-US" w:eastAsia="zh-CN"/>
        </w:rPr>
      </w:pPr>
      <w:r w:rsidRPr="00AC628B">
        <w:rPr>
          <w:b/>
          <w:bCs/>
          <w:i/>
          <w:iCs/>
          <w:lang w:val="en-US" w:eastAsia="zh-CN"/>
        </w:rPr>
        <w:t>Scheme 1 (Without pre-compensation of DO</w:t>
      </w:r>
      <w:r>
        <w:rPr>
          <w:b/>
          <w:bCs/>
          <w:i/>
          <w:iCs/>
          <w:lang w:val="en-US" w:eastAsia="zh-CN"/>
        </w:rPr>
        <w:t>/FO</w:t>
      </w:r>
      <w:r w:rsidRPr="00AC628B">
        <w:rPr>
          <w:b/>
          <w:bCs/>
          <w:i/>
          <w:iCs/>
          <w:lang w:val="en-US" w:eastAsia="zh-CN"/>
        </w:rPr>
        <w:t xml:space="preserve">): Separate TCI state </w:t>
      </w:r>
      <w:r>
        <w:rPr>
          <w:b/>
          <w:bCs/>
          <w:i/>
          <w:iCs/>
          <w:lang w:val="en-US" w:eastAsia="zh-CN"/>
        </w:rPr>
        <w:t xml:space="preserve">with QCL-TypeC indication </w:t>
      </w:r>
      <w:r w:rsidRPr="00AC628B">
        <w:rPr>
          <w:b/>
          <w:bCs/>
          <w:i/>
          <w:iCs/>
          <w:lang w:val="en-US" w:eastAsia="zh-CN"/>
        </w:rPr>
        <w:t xml:space="preserve">for each </w:t>
      </w:r>
      <w:r>
        <w:rPr>
          <w:b/>
          <w:bCs/>
          <w:i/>
          <w:iCs/>
          <w:lang w:val="en-US" w:eastAsia="zh-CN"/>
        </w:rPr>
        <w:t>CSI-RS resource</w:t>
      </w:r>
    </w:p>
    <w:p w:rsidR="00577F1E" w:rsidRDefault="00577F1E" w:rsidP="00577F1E">
      <w:pPr>
        <w:pStyle w:val="0Maintext"/>
        <w:numPr>
          <w:ilvl w:val="0"/>
          <w:numId w:val="645"/>
        </w:numPr>
        <w:spacing w:after="120" w:afterAutospacing="0" w:line="240" w:lineRule="auto"/>
        <w:rPr>
          <w:b/>
          <w:bCs/>
          <w:i/>
          <w:iCs/>
          <w:lang w:val="en-US" w:eastAsia="zh-CN"/>
        </w:rPr>
      </w:pPr>
      <w:r w:rsidRPr="00AC628B">
        <w:rPr>
          <w:b/>
          <w:bCs/>
          <w:i/>
          <w:iCs/>
          <w:lang w:val="en-US" w:eastAsia="zh-CN"/>
        </w:rPr>
        <w:lastRenderedPageBreak/>
        <w:t xml:space="preserve">Scheme 2 (With pre-compensation of DO): All the </w:t>
      </w:r>
      <w:r>
        <w:rPr>
          <w:b/>
          <w:bCs/>
          <w:i/>
          <w:iCs/>
          <w:lang w:val="en-US" w:eastAsia="zh-CN"/>
        </w:rPr>
        <w:t>CSI-RS resources</w:t>
      </w:r>
      <w:r w:rsidRPr="00AC628B">
        <w:rPr>
          <w:b/>
          <w:bCs/>
          <w:i/>
          <w:iCs/>
          <w:lang w:val="en-US" w:eastAsia="zh-CN"/>
        </w:rPr>
        <w:t xml:space="preserve"> are configured with a common TCI state for </w:t>
      </w:r>
      <w:r>
        <w:rPr>
          <w:b/>
          <w:bCs/>
          <w:i/>
          <w:iCs/>
          <w:lang w:val="en-US" w:eastAsia="zh-CN"/>
        </w:rPr>
        <w:t>QCL-TypeC indication without Doppler shift</w:t>
      </w:r>
      <w:r w:rsidRPr="00AC628B">
        <w:rPr>
          <w:b/>
          <w:bCs/>
          <w:i/>
          <w:iCs/>
          <w:lang w:val="en-US" w:eastAsia="zh-CN"/>
        </w:rPr>
        <w:t xml:space="preserve">, and each </w:t>
      </w:r>
      <w:r>
        <w:rPr>
          <w:b/>
          <w:bCs/>
          <w:i/>
          <w:iCs/>
          <w:lang w:val="en-US" w:eastAsia="zh-CN"/>
        </w:rPr>
        <w:t>CSI-RS resource</w:t>
      </w:r>
      <w:r w:rsidRPr="00AC628B">
        <w:rPr>
          <w:b/>
          <w:bCs/>
          <w:i/>
          <w:iCs/>
          <w:lang w:val="en-US" w:eastAsia="zh-CN"/>
        </w:rPr>
        <w:t xml:space="preserve"> is configured with a separate TCI state for </w:t>
      </w:r>
      <w:r>
        <w:rPr>
          <w:b/>
          <w:bCs/>
          <w:i/>
          <w:iCs/>
          <w:lang w:val="en-US" w:eastAsia="zh-CN"/>
        </w:rPr>
        <w:t>QCL-TypeC indication without average delay</w:t>
      </w:r>
    </w:p>
    <w:p w:rsidR="00577F1E" w:rsidRDefault="00577F1E" w:rsidP="00577F1E">
      <w:pPr>
        <w:pStyle w:val="0Maintext"/>
        <w:numPr>
          <w:ilvl w:val="0"/>
          <w:numId w:val="645"/>
        </w:numPr>
        <w:spacing w:after="120" w:afterAutospacing="0" w:line="240" w:lineRule="auto"/>
        <w:rPr>
          <w:b/>
          <w:bCs/>
          <w:i/>
          <w:iCs/>
          <w:lang w:val="en-US" w:eastAsia="zh-CN"/>
        </w:rPr>
      </w:pPr>
      <w:r w:rsidRPr="00AC628B">
        <w:rPr>
          <w:b/>
          <w:bCs/>
          <w:i/>
          <w:iCs/>
          <w:lang w:val="en-US" w:eastAsia="zh-CN"/>
        </w:rPr>
        <w:t xml:space="preserve">Scheme </w:t>
      </w:r>
      <w:r>
        <w:rPr>
          <w:b/>
          <w:bCs/>
          <w:i/>
          <w:iCs/>
          <w:lang w:val="en-US" w:eastAsia="zh-CN"/>
        </w:rPr>
        <w:t>3</w:t>
      </w:r>
      <w:r w:rsidRPr="00AC628B">
        <w:rPr>
          <w:b/>
          <w:bCs/>
          <w:i/>
          <w:iCs/>
          <w:lang w:val="en-US" w:eastAsia="zh-CN"/>
        </w:rPr>
        <w:t xml:space="preserve"> (With pre-compensation of </w:t>
      </w:r>
      <w:r>
        <w:rPr>
          <w:b/>
          <w:bCs/>
          <w:i/>
          <w:iCs/>
          <w:lang w:val="en-US" w:eastAsia="zh-CN"/>
        </w:rPr>
        <w:t>F</w:t>
      </w:r>
      <w:r w:rsidRPr="00AC628B">
        <w:rPr>
          <w:b/>
          <w:bCs/>
          <w:i/>
          <w:iCs/>
          <w:lang w:val="en-US" w:eastAsia="zh-CN"/>
        </w:rPr>
        <w:t xml:space="preserve">O): All the </w:t>
      </w:r>
      <w:r>
        <w:rPr>
          <w:b/>
          <w:bCs/>
          <w:i/>
          <w:iCs/>
          <w:lang w:val="en-US" w:eastAsia="zh-CN"/>
        </w:rPr>
        <w:t>CSI-RS resources</w:t>
      </w:r>
      <w:r w:rsidRPr="00AC628B">
        <w:rPr>
          <w:b/>
          <w:bCs/>
          <w:i/>
          <w:iCs/>
          <w:lang w:val="en-US" w:eastAsia="zh-CN"/>
        </w:rPr>
        <w:t xml:space="preserve"> are configured with a common TCI state for </w:t>
      </w:r>
      <w:r>
        <w:rPr>
          <w:b/>
          <w:bCs/>
          <w:i/>
          <w:iCs/>
          <w:lang w:val="en-US" w:eastAsia="zh-CN"/>
        </w:rPr>
        <w:t>QCL-TypeC indication without average delay</w:t>
      </w:r>
      <w:r w:rsidRPr="00AC628B">
        <w:rPr>
          <w:b/>
          <w:bCs/>
          <w:i/>
          <w:iCs/>
          <w:lang w:val="en-US" w:eastAsia="zh-CN"/>
        </w:rPr>
        <w:t xml:space="preserve">, and each </w:t>
      </w:r>
      <w:r>
        <w:rPr>
          <w:b/>
          <w:bCs/>
          <w:i/>
          <w:iCs/>
          <w:lang w:val="en-US" w:eastAsia="zh-CN"/>
        </w:rPr>
        <w:t>CSI-RS resource</w:t>
      </w:r>
      <w:r w:rsidRPr="00AC628B">
        <w:rPr>
          <w:b/>
          <w:bCs/>
          <w:i/>
          <w:iCs/>
          <w:lang w:val="en-US" w:eastAsia="zh-CN"/>
        </w:rPr>
        <w:t xml:space="preserve"> is configured with a separate TCI state for </w:t>
      </w:r>
      <w:r>
        <w:rPr>
          <w:b/>
          <w:bCs/>
          <w:i/>
          <w:iCs/>
          <w:lang w:val="en-US" w:eastAsia="zh-CN"/>
        </w:rPr>
        <w:t>QCL-TypeC indication without Doppler shift</w:t>
      </w:r>
    </w:p>
    <w:p w:rsidR="00577F1E" w:rsidRPr="00577F1E" w:rsidRDefault="00577F1E" w:rsidP="00577F1E">
      <w:pPr>
        <w:pStyle w:val="0Maintext"/>
        <w:numPr>
          <w:ilvl w:val="0"/>
          <w:numId w:val="645"/>
        </w:numPr>
        <w:spacing w:after="120" w:afterAutospacing="0" w:line="240" w:lineRule="auto"/>
        <w:rPr>
          <w:b/>
          <w:bCs/>
          <w:i/>
          <w:iCs/>
          <w:lang w:val="en-US" w:eastAsia="zh-CN"/>
        </w:rPr>
      </w:pPr>
      <w:r w:rsidRPr="00AC628B">
        <w:rPr>
          <w:b/>
          <w:bCs/>
          <w:i/>
          <w:iCs/>
          <w:lang w:val="en-US" w:eastAsia="zh-CN"/>
        </w:rPr>
        <w:t xml:space="preserve">Scheme </w:t>
      </w:r>
      <w:r>
        <w:rPr>
          <w:b/>
          <w:bCs/>
          <w:i/>
          <w:iCs/>
          <w:lang w:val="en-US" w:eastAsia="zh-CN"/>
        </w:rPr>
        <w:t>4</w:t>
      </w:r>
      <w:r w:rsidRPr="00AC628B">
        <w:rPr>
          <w:b/>
          <w:bCs/>
          <w:i/>
          <w:iCs/>
          <w:lang w:val="en-US" w:eastAsia="zh-CN"/>
        </w:rPr>
        <w:t xml:space="preserve"> (With pre-compensation of DO</w:t>
      </w:r>
      <w:r>
        <w:rPr>
          <w:b/>
          <w:bCs/>
          <w:i/>
          <w:iCs/>
          <w:lang w:val="en-US" w:eastAsia="zh-CN"/>
        </w:rPr>
        <w:t xml:space="preserve"> and FO</w:t>
      </w:r>
      <w:r w:rsidRPr="00AC628B">
        <w:rPr>
          <w:b/>
          <w:bCs/>
          <w:i/>
          <w:iCs/>
          <w:lang w:val="en-US" w:eastAsia="zh-CN"/>
        </w:rPr>
        <w:t xml:space="preserve">): All the </w:t>
      </w:r>
      <w:r>
        <w:rPr>
          <w:b/>
          <w:bCs/>
          <w:i/>
          <w:iCs/>
          <w:lang w:val="en-US" w:eastAsia="zh-CN"/>
        </w:rPr>
        <w:t>CSI-RS resources</w:t>
      </w:r>
      <w:r w:rsidRPr="00AC628B">
        <w:rPr>
          <w:b/>
          <w:bCs/>
          <w:i/>
          <w:iCs/>
          <w:lang w:val="en-US" w:eastAsia="zh-CN"/>
        </w:rPr>
        <w:t xml:space="preserve"> are configured with a common TCI state for </w:t>
      </w:r>
      <w:r>
        <w:rPr>
          <w:b/>
          <w:bCs/>
          <w:i/>
          <w:iCs/>
          <w:lang w:val="en-US" w:eastAsia="zh-CN"/>
        </w:rPr>
        <w:t xml:space="preserve">QCL-TypeC </w:t>
      </w:r>
      <w:r w:rsidRPr="00AC628B">
        <w:rPr>
          <w:b/>
          <w:bCs/>
          <w:i/>
          <w:iCs/>
          <w:lang w:val="en-US" w:eastAsia="zh-CN"/>
        </w:rPr>
        <w:t>indication</w:t>
      </w:r>
    </w:p>
    <w:p w:rsidR="00577F1E" w:rsidRPr="00B179E3" w:rsidRDefault="00577F1E" w:rsidP="00577F1E">
      <w:pPr>
        <w:pStyle w:val="0Maintext"/>
        <w:spacing w:after="120" w:afterAutospacing="0" w:line="240" w:lineRule="auto"/>
        <w:ind w:firstLine="0"/>
        <w:rPr>
          <w:b/>
          <w:bCs/>
          <w:i/>
          <w:iCs/>
          <w:lang w:val="en-US" w:eastAsia="zh-CN"/>
        </w:rPr>
      </w:pPr>
      <w:r w:rsidRPr="00B179E3">
        <w:rPr>
          <w:b/>
          <w:bCs/>
          <w:i/>
          <w:iCs/>
          <w:lang w:val="en-US" w:eastAsia="zh-CN"/>
        </w:rPr>
        <w:t xml:space="preserve">Proposal </w:t>
      </w:r>
      <w:r>
        <w:rPr>
          <w:b/>
          <w:bCs/>
          <w:i/>
          <w:iCs/>
          <w:lang w:val="en-US" w:eastAsia="zh-CN"/>
        </w:rPr>
        <w:t>8</w:t>
      </w:r>
      <w:r w:rsidRPr="00B179E3">
        <w:rPr>
          <w:b/>
          <w:bCs/>
          <w:i/>
          <w:iCs/>
          <w:lang w:val="en-US" w:eastAsia="zh-CN"/>
        </w:rPr>
        <w:t xml:space="preserve">: Support the UE to determine the UE antenna port for the PO measurement based on the associated SRS port for most recent </w:t>
      </w:r>
      <w:r>
        <w:rPr>
          <w:b/>
          <w:bCs/>
          <w:i/>
          <w:iCs/>
          <w:lang w:val="en-US" w:eastAsia="zh-CN"/>
        </w:rPr>
        <w:t xml:space="preserve">transmission occcasion of the </w:t>
      </w:r>
      <w:r w:rsidRPr="00B179E3">
        <w:rPr>
          <w:b/>
          <w:bCs/>
          <w:i/>
          <w:iCs/>
          <w:lang w:val="en-US" w:eastAsia="zh-CN"/>
        </w:rPr>
        <w:t>associated SRS resource before the PDCCH triggering the PO report.</w:t>
      </w:r>
    </w:p>
    <w:p w:rsidR="00577F1E" w:rsidRPr="00396F46" w:rsidRDefault="00577F1E" w:rsidP="00577F1E">
      <w:pPr>
        <w:pStyle w:val="0Maintext"/>
        <w:spacing w:after="120" w:afterAutospacing="0" w:line="240" w:lineRule="auto"/>
        <w:ind w:firstLine="0"/>
        <w:rPr>
          <w:b/>
          <w:bCs/>
          <w:i/>
          <w:iCs/>
          <w:lang w:val="en-US" w:eastAsia="zh-CN"/>
        </w:rPr>
      </w:pPr>
      <w:r w:rsidRPr="00396F46">
        <w:rPr>
          <w:b/>
          <w:bCs/>
          <w:i/>
          <w:iCs/>
          <w:lang w:val="en-US" w:eastAsia="zh-CN"/>
        </w:rPr>
        <w:t xml:space="preserve">Proposal 9: Support the UE to select the associated SRS resource </w:t>
      </w:r>
      <w:r>
        <w:rPr>
          <w:b/>
          <w:bCs/>
          <w:i/>
          <w:iCs/>
          <w:lang w:val="en-US" w:eastAsia="zh-CN"/>
        </w:rPr>
        <w:t xml:space="preserve">set </w:t>
      </w:r>
      <w:r w:rsidRPr="00396F46">
        <w:rPr>
          <w:b/>
          <w:bCs/>
          <w:i/>
          <w:iCs/>
          <w:lang w:val="en-US" w:eastAsia="zh-CN"/>
        </w:rPr>
        <w:t>for PO report as follows</w:t>
      </w:r>
    </w:p>
    <w:p w:rsidR="00577F1E" w:rsidRPr="00396F46" w:rsidRDefault="00577F1E" w:rsidP="00577F1E">
      <w:pPr>
        <w:pStyle w:val="0Maintext"/>
        <w:numPr>
          <w:ilvl w:val="0"/>
          <w:numId w:val="1048"/>
        </w:numPr>
        <w:spacing w:after="120" w:afterAutospacing="0" w:line="240" w:lineRule="auto"/>
        <w:rPr>
          <w:b/>
          <w:bCs/>
          <w:i/>
          <w:iCs/>
          <w:lang w:val="en-US" w:eastAsia="zh-CN"/>
        </w:rPr>
      </w:pPr>
      <w:r w:rsidRPr="00396F46">
        <w:rPr>
          <w:b/>
          <w:bCs/>
          <w:i/>
          <w:iCs/>
          <w:lang w:val="en-US" w:eastAsia="zh-CN"/>
        </w:rPr>
        <w:t>When one periodic SRS resource set and one aperiodic SRS resource set are configured, UE selects the associated SRS resource based on the periodic SRS resource set</w:t>
      </w:r>
    </w:p>
    <w:p w:rsidR="00577F1E" w:rsidRPr="00396F46" w:rsidRDefault="00577F1E" w:rsidP="00577F1E">
      <w:pPr>
        <w:pStyle w:val="0Maintext"/>
        <w:numPr>
          <w:ilvl w:val="0"/>
          <w:numId w:val="1048"/>
        </w:numPr>
        <w:spacing w:after="120" w:afterAutospacing="0" w:line="240" w:lineRule="auto"/>
        <w:rPr>
          <w:b/>
          <w:bCs/>
          <w:i/>
          <w:iCs/>
          <w:lang w:val="en-US" w:eastAsia="zh-CN"/>
        </w:rPr>
      </w:pPr>
      <w:r w:rsidRPr="00396F46">
        <w:rPr>
          <w:b/>
          <w:bCs/>
          <w:i/>
          <w:iCs/>
          <w:lang w:val="en-US" w:eastAsia="zh-CN"/>
        </w:rPr>
        <w:t>When two semi-persistent SRS resource sets are configured, UE selects the associated SRS resource based on the activated SRS resource set</w:t>
      </w:r>
    </w:p>
    <w:p w:rsidR="00577F1E" w:rsidRPr="00577F1E" w:rsidRDefault="00577F1E" w:rsidP="00577F1E">
      <w:pPr>
        <w:pStyle w:val="0Maintext"/>
        <w:numPr>
          <w:ilvl w:val="0"/>
          <w:numId w:val="1048"/>
        </w:numPr>
        <w:spacing w:after="120" w:afterAutospacing="0" w:line="240" w:lineRule="auto"/>
        <w:rPr>
          <w:b/>
          <w:bCs/>
          <w:i/>
          <w:iCs/>
          <w:lang w:val="en-US" w:eastAsia="zh-CN"/>
        </w:rPr>
      </w:pPr>
      <w:r w:rsidRPr="00396F46">
        <w:rPr>
          <w:b/>
          <w:bCs/>
          <w:i/>
          <w:iCs/>
          <w:lang w:val="en-US" w:eastAsia="zh-CN"/>
        </w:rPr>
        <w:t>When two aperiodic SRS resource sets are configured, UE selects the associated SRS resource based on the SRS resource set with lower set ID</w:t>
      </w:r>
    </w:p>
    <w:p w:rsidR="00577F1E" w:rsidRDefault="00577F1E" w:rsidP="00577F1E">
      <w:pPr>
        <w:pStyle w:val="0Maintext"/>
        <w:spacing w:after="120" w:afterAutospacing="0" w:line="240" w:lineRule="auto"/>
        <w:ind w:firstLine="0"/>
        <w:rPr>
          <w:b/>
          <w:bCs/>
          <w:i/>
          <w:iCs/>
          <w:lang w:val="en-US" w:eastAsia="zh-CN"/>
        </w:rPr>
      </w:pPr>
      <w:r w:rsidRPr="000205DD">
        <w:rPr>
          <w:b/>
          <w:bCs/>
          <w:i/>
          <w:iCs/>
          <w:lang w:val="en-US" w:eastAsia="zh-CN"/>
        </w:rPr>
        <w:t>Proposal 1</w:t>
      </w:r>
      <w:r>
        <w:rPr>
          <w:b/>
          <w:bCs/>
          <w:i/>
          <w:iCs/>
          <w:lang w:val="en-US" w:eastAsia="zh-CN"/>
        </w:rPr>
        <w:t>0</w:t>
      </w:r>
      <w:r w:rsidRPr="000205DD">
        <w:rPr>
          <w:b/>
          <w:bCs/>
          <w:i/>
          <w:iCs/>
          <w:lang w:val="en-US" w:eastAsia="zh-CN"/>
        </w:rPr>
        <w:t>: Support the NW to inform UE whether it transmits the CSI-RS resources for PO measurement with DO pre-compensation.</w:t>
      </w:r>
    </w:p>
    <w:p w:rsidR="00577F1E" w:rsidRPr="00482585" w:rsidRDefault="00577F1E" w:rsidP="00577F1E">
      <w:pPr>
        <w:pStyle w:val="0Maintext"/>
        <w:spacing w:after="120" w:afterAutospacing="0" w:line="240" w:lineRule="auto"/>
        <w:ind w:firstLine="0"/>
        <w:rPr>
          <w:b/>
          <w:bCs/>
          <w:i/>
          <w:iCs/>
          <w:lang w:val="en-US" w:eastAsia="zh-CN"/>
        </w:rPr>
      </w:pPr>
      <w:r w:rsidRPr="00482585">
        <w:rPr>
          <w:b/>
          <w:bCs/>
          <w:i/>
          <w:iCs/>
          <w:lang w:val="en-US" w:eastAsia="zh-CN"/>
        </w:rPr>
        <w:t>Proposal 1</w:t>
      </w:r>
      <w:r>
        <w:rPr>
          <w:b/>
          <w:bCs/>
          <w:i/>
          <w:iCs/>
          <w:lang w:val="en-US" w:eastAsia="zh-CN"/>
        </w:rPr>
        <w:t>1</w:t>
      </w:r>
      <w:r w:rsidRPr="00482585">
        <w:rPr>
          <w:b/>
          <w:bCs/>
          <w:i/>
          <w:iCs/>
          <w:lang w:val="en-US" w:eastAsia="zh-CN"/>
        </w:rPr>
        <w:t>: For separate triggering based linked DO and CJT-CSI report, the delay offset value to be compensated is the latest reported delay offset (DO) whose reporting instance’s last symbol is before the most transmission occasion of the first CMR before the CSI reference resource for the CJT-CSI report.</w:t>
      </w:r>
    </w:p>
    <w:p w:rsidR="00577F1E" w:rsidRPr="00482585" w:rsidRDefault="00577F1E" w:rsidP="00577F1E">
      <w:pPr>
        <w:pStyle w:val="0Maintext"/>
        <w:spacing w:after="120" w:afterAutospacing="0" w:line="240" w:lineRule="auto"/>
        <w:ind w:firstLine="0"/>
        <w:rPr>
          <w:b/>
          <w:bCs/>
          <w:i/>
          <w:iCs/>
          <w:lang w:val="en-US" w:eastAsia="zh-CN"/>
        </w:rPr>
      </w:pPr>
      <w:r w:rsidRPr="00482585">
        <w:rPr>
          <w:b/>
          <w:bCs/>
          <w:i/>
          <w:iCs/>
          <w:lang w:val="en-US" w:eastAsia="zh-CN"/>
        </w:rPr>
        <w:t>Proposal 1</w:t>
      </w:r>
      <w:r>
        <w:rPr>
          <w:b/>
          <w:bCs/>
          <w:i/>
          <w:iCs/>
          <w:lang w:val="en-US" w:eastAsia="zh-CN"/>
        </w:rPr>
        <w:t>2</w:t>
      </w:r>
      <w:r w:rsidRPr="00482585">
        <w:rPr>
          <w:b/>
          <w:bCs/>
          <w:i/>
          <w:iCs/>
          <w:lang w:val="en-US" w:eastAsia="zh-CN"/>
        </w:rPr>
        <w:t>: If UE reports an invalid DO in the associated DO report, i.e., UE cannot identify a valid DO report, it calculates the CJT-CSI based on a default DO value, i.e., DO = 0.</w:t>
      </w:r>
    </w:p>
    <w:p w:rsidR="00577F1E" w:rsidRPr="00482585" w:rsidRDefault="00577F1E" w:rsidP="00577F1E">
      <w:pPr>
        <w:pStyle w:val="0Maintext"/>
        <w:spacing w:after="120" w:afterAutospacing="0" w:line="240" w:lineRule="auto"/>
        <w:ind w:firstLine="0"/>
        <w:rPr>
          <w:b/>
          <w:bCs/>
          <w:i/>
          <w:iCs/>
          <w:lang w:val="en-US" w:eastAsia="zh-CN"/>
        </w:rPr>
      </w:pPr>
      <w:r w:rsidRPr="00482585">
        <w:rPr>
          <w:b/>
          <w:bCs/>
          <w:i/>
          <w:iCs/>
          <w:lang w:val="en-US" w:eastAsia="zh-CN"/>
        </w:rPr>
        <w:t>Proposal 1</w:t>
      </w:r>
      <w:r>
        <w:rPr>
          <w:b/>
          <w:bCs/>
          <w:i/>
          <w:iCs/>
          <w:lang w:val="en-US" w:eastAsia="zh-CN"/>
        </w:rPr>
        <w:t>3</w:t>
      </w:r>
      <w:r w:rsidRPr="00482585">
        <w:rPr>
          <w:b/>
          <w:bCs/>
          <w:i/>
          <w:iCs/>
          <w:lang w:val="en-US" w:eastAsia="zh-CN"/>
        </w:rPr>
        <w:t>: For joint triggering operation, the minimum processing delay is the sum of the minimum processing delay for DO report and CJT-CSI report.</w:t>
      </w:r>
    </w:p>
    <w:p w:rsidR="00577F1E" w:rsidRPr="00482585" w:rsidRDefault="00577F1E" w:rsidP="00577F1E">
      <w:pPr>
        <w:pStyle w:val="0Maintext"/>
        <w:spacing w:after="120" w:afterAutospacing="0" w:line="240" w:lineRule="auto"/>
        <w:ind w:firstLine="0"/>
        <w:rPr>
          <w:b/>
          <w:bCs/>
          <w:i/>
          <w:iCs/>
          <w:lang w:val="en-US" w:eastAsia="zh-CN"/>
        </w:rPr>
      </w:pPr>
      <w:r w:rsidRPr="00482585">
        <w:rPr>
          <w:b/>
          <w:bCs/>
          <w:i/>
          <w:iCs/>
          <w:lang w:val="en-US" w:eastAsia="zh-CN"/>
        </w:rPr>
        <w:t>Proposal 1</w:t>
      </w:r>
      <w:r>
        <w:rPr>
          <w:b/>
          <w:bCs/>
          <w:i/>
          <w:iCs/>
          <w:lang w:val="en-US" w:eastAsia="zh-CN"/>
        </w:rPr>
        <w:t>4</w:t>
      </w:r>
      <w:r w:rsidRPr="00482585">
        <w:rPr>
          <w:b/>
          <w:bCs/>
          <w:i/>
          <w:iCs/>
          <w:lang w:val="en-US" w:eastAsia="zh-CN"/>
        </w:rPr>
        <w:t>: For joint triggering operation, the number of CPUs is the maximum number of CPUs between the DO report and CJT-CSI report.</w:t>
      </w:r>
    </w:p>
    <w:p w:rsidR="00577F1E" w:rsidRPr="00482585" w:rsidRDefault="00577F1E" w:rsidP="00577F1E">
      <w:pPr>
        <w:pStyle w:val="0Maintext"/>
        <w:spacing w:after="120" w:afterAutospacing="0" w:line="240" w:lineRule="auto"/>
        <w:ind w:firstLine="0"/>
        <w:rPr>
          <w:b/>
          <w:bCs/>
          <w:i/>
          <w:iCs/>
          <w:lang w:val="en-US" w:eastAsia="zh-CN"/>
        </w:rPr>
      </w:pPr>
      <w:r w:rsidRPr="00482585">
        <w:rPr>
          <w:b/>
          <w:bCs/>
          <w:i/>
          <w:iCs/>
          <w:lang w:val="en-US" w:eastAsia="zh-CN"/>
        </w:rPr>
        <w:t>Proposal 1</w:t>
      </w:r>
      <w:r>
        <w:rPr>
          <w:b/>
          <w:bCs/>
          <w:i/>
          <w:iCs/>
          <w:lang w:val="en-US" w:eastAsia="zh-CN"/>
        </w:rPr>
        <w:t>5</w:t>
      </w:r>
      <w:r w:rsidRPr="00482585">
        <w:rPr>
          <w:b/>
          <w:bCs/>
          <w:i/>
          <w:iCs/>
          <w:lang w:val="en-US" w:eastAsia="zh-CN"/>
        </w:rPr>
        <w:t xml:space="preserve">: For joint triggering operation, if the DO report is dropped, UE drops the </w:t>
      </w:r>
      <w:r>
        <w:rPr>
          <w:b/>
          <w:bCs/>
          <w:i/>
          <w:iCs/>
          <w:lang w:val="en-US" w:eastAsia="zh-CN"/>
        </w:rPr>
        <w:t xml:space="preserve">linked </w:t>
      </w:r>
      <w:r w:rsidRPr="00482585">
        <w:rPr>
          <w:b/>
          <w:bCs/>
          <w:i/>
          <w:iCs/>
          <w:lang w:val="en-US" w:eastAsia="zh-CN"/>
        </w:rPr>
        <w:t>CJT-CSI report as well.</w:t>
      </w:r>
    </w:p>
    <w:p w:rsidR="00577F1E" w:rsidRPr="00482585" w:rsidRDefault="00577F1E" w:rsidP="00577F1E">
      <w:pPr>
        <w:pStyle w:val="0Maintext"/>
        <w:spacing w:after="120" w:afterAutospacing="0" w:line="240" w:lineRule="auto"/>
        <w:ind w:firstLine="0"/>
        <w:rPr>
          <w:b/>
          <w:bCs/>
          <w:i/>
          <w:iCs/>
          <w:lang w:val="en-US" w:eastAsia="zh-CN"/>
        </w:rPr>
      </w:pPr>
      <w:r w:rsidRPr="00482585">
        <w:rPr>
          <w:b/>
          <w:bCs/>
          <w:i/>
          <w:iCs/>
          <w:lang w:val="en-US" w:eastAsia="zh-CN"/>
        </w:rPr>
        <w:t>Proposal 1</w:t>
      </w:r>
      <w:r>
        <w:rPr>
          <w:b/>
          <w:bCs/>
          <w:i/>
          <w:iCs/>
          <w:lang w:val="en-US" w:eastAsia="zh-CN"/>
        </w:rPr>
        <w:t>6</w:t>
      </w:r>
      <w:r w:rsidRPr="00482585">
        <w:rPr>
          <w:b/>
          <w:bCs/>
          <w:i/>
          <w:iCs/>
          <w:lang w:val="en-US" w:eastAsia="zh-CN"/>
        </w:rPr>
        <w:t>: The number of CSI-RS resource sets for DO report and the number of CSI-RS resources for channel measurement for CJT-CSI report should be the same</w:t>
      </w:r>
    </w:p>
    <w:p w:rsidR="00577F1E" w:rsidRPr="00577F1E" w:rsidRDefault="00577F1E" w:rsidP="00577F1E">
      <w:pPr>
        <w:pStyle w:val="0Maintext"/>
        <w:numPr>
          <w:ilvl w:val="0"/>
          <w:numId w:val="1050"/>
        </w:numPr>
        <w:spacing w:after="120" w:afterAutospacing="0" w:line="240" w:lineRule="auto"/>
        <w:rPr>
          <w:b/>
          <w:bCs/>
          <w:i/>
          <w:iCs/>
          <w:lang w:val="en-US" w:eastAsia="zh-CN"/>
        </w:rPr>
      </w:pPr>
      <w:r w:rsidRPr="00482585">
        <w:rPr>
          <w:b/>
          <w:bCs/>
          <w:i/>
          <w:iCs/>
          <w:lang w:val="en-US" w:eastAsia="zh-CN"/>
        </w:rPr>
        <w:t>The CSI-RS resource sets for DO report and CSI-RS resources for channel measurement for CJT-CSI report are one-to-one associated.</w:t>
      </w:r>
    </w:p>
    <w:p w:rsidR="00577F1E" w:rsidRPr="00577F1E" w:rsidRDefault="00577F1E" w:rsidP="00577F1E">
      <w:pPr>
        <w:pStyle w:val="0Maintext"/>
        <w:spacing w:after="120" w:afterAutospacing="0" w:line="240" w:lineRule="auto"/>
        <w:ind w:firstLine="0"/>
        <w:rPr>
          <w:b/>
          <w:bCs/>
          <w:i/>
          <w:iCs/>
          <w:lang w:val="en-US" w:eastAsia="zh-CN"/>
        </w:rPr>
      </w:pPr>
      <w:r w:rsidRPr="00577F1E">
        <w:rPr>
          <w:b/>
          <w:bCs/>
          <w:i/>
          <w:iCs/>
          <w:lang w:val="en-US" w:eastAsia="zh-CN"/>
        </w:rPr>
        <w:t>Proposal 1</w:t>
      </w:r>
      <w:r>
        <w:rPr>
          <w:b/>
          <w:bCs/>
          <w:i/>
          <w:iCs/>
          <w:lang w:val="en-US" w:eastAsia="zh-CN"/>
        </w:rPr>
        <w:t>7</w:t>
      </w:r>
      <w:r w:rsidRPr="00577F1E">
        <w:rPr>
          <w:b/>
          <w:bCs/>
          <w:i/>
          <w:iCs/>
          <w:lang w:val="en-US" w:eastAsia="zh-CN"/>
        </w:rPr>
        <w:t>: Support to divide the SRS ports into two groups where different groups corresponding to different ports used to calculate the CQI for different codewords.</w:t>
      </w:r>
    </w:p>
    <w:p w:rsidR="00577F1E" w:rsidRPr="00577F1E" w:rsidRDefault="00577F1E" w:rsidP="00577F1E">
      <w:pPr>
        <w:pStyle w:val="0Maintext"/>
        <w:spacing w:after="120" w:afterAutospacing="0" w:line="240" w:lineRule="auto"/>
        <w:ind w:firstLine="0"/>
        <w:rPr>
          <w:b/>
          <w:bCs/>
          <w:i/>
          <w:iCs/>
          <w:lang w:val="en-US" w:eastAsia="zh-CN"/>
        </w:rPr>
      </w:pPr>
      <w:r w:rsidRPr="00577F1E">
        <w:rPr>
          <w:b/>
          <w:bCs/>
          <w:i/>
          <w:iCs/>
          <w:lang w:val="en-US" w:eastAsia="zh-CN"/>
        </w:rPr>
        <w:t>Proposal 1</w:t>
      </w:r>
      <w:r>
        <w:rPr>
          <w:b/>
          <w:bCs/>
          <w:i/>
          <w:iCs/>
          <w:lang w:val="en-US" w:eastAsia="zh-CN"/>
        </w:rPr>
        <w:t>8</w:t>
      </w:r>
      <w:r w:rsidRPr="00577F1E">
        <w:rPr>
          <w:b/>
          <w:bCs/>
          <w:i/>
          <w:iCs/>
          <w:lang w:val="en-US" w:eastAsia="zh-CN"/>
        </w:rPr>
        <w:t>: Support to configure whether the UE can receive different codewords for a PDSCH by different UE ports corresponding to different SRS ports groups.</w:t>
      </w:r>
    </w:p>
    <w:sectPr w:rsidR="00577F1E" w:rsidRPr="00577F1E"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ËÎÌå"/>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¹ÙÅÁ"/>
    <w:panose1 w:val="02030600000101010101"/>
    <w:charset w:val="81"/>
    <w:family w:val="roman"/>
    <w:pitch w:val="variable"/>
    <w:sig w:usb0="B00002AF" w:usb1="69D77CFB" w:usb2="00000030" w:usb3="00000000" w:csb0="0008009F" w:csb1="00000000"/>
  </w:font>
  <w:font w:name="Yu Gothic">
    <w:altName w:val="ŸàƒSƒVƒbƒN"/>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l‚r –¾’©"/>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s²Ó©úÅé"/>
    <w:panose1 w:val="02020500000000000000"/>
    <w:charset w:val="88"/>
    <w:family w:val="roman"/>
    <w:pitch w:val="variable"/>
    <w:sig w:usb0="A00002FF" w:usb1="28CFFCFA" w:usb2="00000016" w:usb3="00000000" w:csb0="00100001" w:csb1="00000000"/>
  </w:font>
  <w:font w:name="DengXian">
    <w:altName w:val="µÈÏß"/>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Nokia Pure Text Light">
    <w:altName w:val="Leelawadee UI"/>
    <w:panose1 w:val="020B0604020202020204"/>
    <w:charset w:val="00"/>
    <w:family w:val="swiss"/>
    <w:pitch w:val="variable"/>
    <w:sig w:usb0="A00002FF" w:usb1="700078FB" w:usb2="00010000" w:usb3="00000000" w:csb0="0000019F" w:csb1="00000000"/>
  </w:font>
  <w:font w:name="Yu Mincho">
    <w:panose1 w:val="02020400000000000000"/>
    <w:charset w:val="80"/>
    <w:family w:val="roman"/>
    <w:pitch w:val="variable"/>
    <w:sig w:usb0="800002E7" w:usb1="2AC7FCFF" w:usb2="00000012" w:usb3="00000000" w:csb0="0002009F" w:csb1="00000000"/>
  </w:font>
  <w:font w:name="Ericsson Hilda">
    <w:panose1 w:val="020B0604020202020204"/>
    <w:charset w:val="00"/>
    <w:family w:val="auto"/>
    <w:pitch w:val="variable"/>
    <w:sig w:usb0="00000287" w:usb1="00000000" w:usb2="00000000" w:usb3="00000000" w:csb0="0000009F" w:csb1="00000000"/>
  </w:font>
  <w:font w:name="MS Gothic">
    <w:altName w:val="‚l‚r ƒSƒVƒbƒN"/>
    <w:panose1 w:val="020B0609070205080204"/>
    <w:charset w:val="80"/>
    <w:family w:val="modern"/>
    <w:pitch w:val="fixed"/>
    <w:sig w:usb0="E00002FF" w:usb1="6AC7FDFB" w:usb2="08000012" w:usb3="00000000" w:csb0="0002009F" w:csb1="00000000"/>
  </w:font>
  <w:font w:name="Nirmala UI">
    <w:panose1 w:val="020B0502040204020203"/>
    <w:charset w:val="00"/>
    <w:family w:val="swiss"/>
    <w:pitch w:val="variable"/>
    <w:sig w:usb0="80FF8023" w:usb1="0200004A" w:usb2="00000200" w:usb3="00000000" w:csb0="00000001" w:csb1="00000000"/>
  </w:font>
  <w:font w:name="Aptos">
    <w:panose1 w:val="020B0004020202020204"/>
    <w:charset w:val="00"/>
    <w:family w:val="swiss"/>
    <w:pitch w:val="variable"/>
    <w:sig w:usb0="20000287" w:usb1="00000003" w:usb2="00000000" w:usb3="00000000" w:csb0="0000019F" w:csb1="00000000"/>
  </w:font>
  <w:font w:name="SimHei">
    <w:altName w:val="ºÚÌå"/>
    <w:panose1 w:val="02010609060101010101"/>
    <w:charset w:val="86"/>
    <w:family w:val="modern"/>
    <w:pitch w:val="fixed"/>
    <w:sig w:usb0="800002BF" w:usb1="38CF7CFA" w:usb2="00000016" w:usb3="00000000" w:csb0="00040001" w:csb1="00000000"/>
  </w:font>
  <w:font w:name="Gulim">
    <w:altName w:val="±¼¸²"/>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1002AFF" w:usb1="C0000002" w:usb2="00000008" w:usb3="00000000" w:csb0="000101FF" w:csb1="00000000"/>
  </w:font>
  <w:font w:name="ZapfDingbats">
    <w:altName w:val="Segoe Print"/>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MS Mincho"/>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notTrueType/>
    <w:pitch w:val="variable"/>
    <w:sig w:usb0="00000003"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D1D0EF8F"/>
    <w:multiLevelType w:val="singleLevel"/>
    <w:tmpl w:val="D1D0EF8F"/>
    <w:lvl w:ilvl="0">
      <w:start w:val="1"/>
      <w:numFmt w:val="bullet"/>
      <w:lvlText w:val="−"/>
      <w:lvlJc w:val="left"/>
      <w:pPr>
        <w:tabs>
          <w:tab w:val="left" w:pos="420"/>
        </w:tabs>
        <w:ind w:left="840" w:hanging="420"/>
      </w:pPr>
      <w:rPr>
        <w:rFonts w:ascii="Arial" w:hAnsi="Arial" w:cs="Arial" w:hint="default"/>
      </w:rPr>
    </w:lvl>
  </w:abstractNum>
  <w:abstractNum w:abstractNumId="4" w15:restartNumberingAfterBreak="0">
    <w:nsid w:val="D85D8C0F"/>
    <w:multiLevelType w:val="multilevel"/>
    <w:tmpl w:val="D85D8C0F"/>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7"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2"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1DD1AE6"/>
    <w:multiLevelType w:val="hybridMultilevel"/>
    <w:tmpl w:val="32009016"/>
    <w:lvl w:ilvl="0" w:tplc="6ECC1CB8">
      <w:start w:val="4"/>
      <w:numFmt w:val="bullet"/>
      <w:lvlText w:val="-"/>
      <w:lvlJc w:val="left"/>
      <w:pPr>
        <w:ind w:left="2166" w:hanging="440"/>
      </w:pPr>
      <w:rPr>
        <w:rFonts w:ascii="Yu Gothic" w:eastAsia="Yu Gothic" w:hAnsi="Yu Gothic" w:cs="MS PGothic" w:hint="eastAsia"/>
      </w:rPr>
    </w:lvl>
    <w:lvl w:ilvl="1" w:tplc="0409000B">
      <w:start w:val="1"/>
      <w:numFmt w:val="bullet"/>
      <w:lvlText w:val=""/>
      <w:lvlJc w:val="left"/>
      <w:pPr>
        <w:ind w:left="2606" w:hanging="440"/>
      </w:pPr>
      <w:rPr>
        <w:rFonts w:ascii="Wingdings" w:hAnsi="Wingdings" w:hint="default"/>
      </w:rPr>
    </w:lvl>
    <w:lvl w:ilvl="2" w:tplc="0409000D" w:tentative="1">
      <w:start w:val="1"/>
      <w:numFmt w:val="bullet"/>
      <w:lvlText w:val=""/>
      <w:lvlJc w:val="left"/>
      <w:pPr>
        <w:ind w:left="3046" w:hanging="440"/>
      </w:pPr>
      <w:rPr>
        <w:rFonts w:ascii="Wingdings" w:hAnsi="Wingdings" w:hint="default"/>
      </w:rPr>
    </w:lvl>
    <w:lvl w:ilvl="3" w:tplc="04090001" w:tentative="1">
      <w:start w:val="1"/>
      <w:numFmt w:val="bullet"/>
      <w:lvlText w:val=""/>
      <w:lvlJc w:val="left"/>
      <w:pPr>
        <w:ind w:left="3486" w:hanging="440"/>
      </w:pPr>
      <w:rPr>
        <w:rFonts w:ascii="Wingdings" w:hAnsi="Wingdings" w:hint="default"/>
      </w:rPr>
    </w:lvl>
    <w:lvl w:ilvl="4" w:tplc="0409000B" w:tentative="1">
      <w:start w:val="1"/>
      <w:numFmt w:val="bullet"/>
      <w:lvlText w:val=""/>
      <w:lvlJc w:val="left"/>
      <w:pPr>
        <w:ind w:left="3926" w:hanging="440"/>
      </w:pPr>
      <w:rPr>
        <w:rFonts w:ascii="Wingdings" w:hAnsi="Wingdings" w:hint="default"/>
      </w:rPr>
    </w:lvl>
    <w:lvl w:ilvl="5" w:tplc="0409000D" w:tentative="1">
      <w:start w:val="1"/>
      <w:numFmt w:val="bullet"/>
      <w:lvlText w:val=""/>
      <w:lvlJc w:val="left"/>
      <w:pPr>
        <w:ind w:left="4366" w:hanging="440"/>
      </w:pPr>
      <w:rPr>
        <w:rFonts w:ascii="Wingdings" w:hAnsi="Wingdings" w:hint="default"/>
      </w:rPr>
    </w:lvl>
    <w:lvl w:ilvl="6" w:tplc="04090001" w:tentative="1">
      <w:start w:val="1"/>
      <w:numFmt w:val="bullet"/>
      <w:lvlText w:val=""/>
      <w:lvlJc w:val="left"/>
      <w:pPr>
        <w:ind w:left="4806" w:hanging="440"/>
      </w:pPr>
      <w:rPr>
        <w:rFonts w:ascii="Wingdings" w:hAnsi="Wingdings" w:hint="default"/>
      </w:rPr>
    </w:lvl>
    <w:lvl w:ilvl="7" w:tplc="0409000B" w:tentative="1">
      <w:start w:val="1"/>
      <w:numFmt w:val="bullet"/>
      <w:lvlText w:val=""/>
      <w:lvlJc w:val="left"/>
      <w:pPr>
        <w:ind w:left="5246" w:hanging="440"/>
      </w:pPr>
      <w:rPr>
        <w:rFonts w:ascii="Wingdings" w:hAnsi="Wingdings" w:hint="default"/>
      </w:rPr>
    </w:lvl>
    <w:lvl w:ilvl="8" w:tplc="0409000D" w:tentative="1">
      <w:start w:val="1"/>
      <w:numFmt w:val="bullet"/>
      <w:lvlText w:val=""/>
      <w:lvlJc w:val="left"/>
      <w:pPr>
        <w:ind w:left="5686" w:hanging="440"/>
      </w:pPr>
      <w:rPr>
        <w:rFonts w:ascii="Wingdings" w:hAnsi="Wingdings" w:hint="default"/>
      </w:rPr>
    </w:lvl>
  </w:abstractNum>
  <w:abstractNum w:abstractNumId="18"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0"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4" w15:restartNumberingAfterBreak="0">
    <w:nsid w:val="02855AC1"/>
    <w:multiLevelType w:val="hybridMultilevel"/>
    <w:tmpl w:val="AE3E15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03103E67"/>
    <w:multiLevelType w:val="multilevel"/>
    <w:tmpl w:val="03103E6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03404F66"/>
    <w:multiLevelType w:val="hybridMultilevel"/>
    <w:tmpl w:val="72825886"/>
    <w:lvl w:ilvl="0" w:tplc="2F08AACC">
      <w:start w:val="3"/>
      <w:numFmt w:val="bullet"/>
      <w:lvlText w:val="•"/>
      <w:lvlJc w:val="left"/>
      <w:pPr>
        <w:ind w:left="400" w:hanging="400"/>
      </w:pPr>
      <w:rPr>
        <w:rFonts w:ascii="Times New Roman" w:eastAsia="Times New Roman"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3" w15:restartNumberingAfterBreak="0">
    <w:nsid w:val="034643AC"/>
    <w:multiLevelType w:val="multilevel"/>
    <w:tmpl w:val="034643AC"/>
    <w:lvl w:ilvl="0">
      <w:start w:val="1"/>
      <w:numFmt w:val="bullet"/>
      <w:lvlText w:val=""/>
      <w:lvlJc w:val="left"/>
      <w:pPr>
        <w:tabs>
          <w:tab w:val="left" w:pos="720"/>
        </w:tabs>
        <w:ind w:left="720" w:hanging="360"/>
      </w:pPr>
      <w:rPr>
        <w:rFonts w:ascii="Symbol" w:hAnsi="Symbol" w:hint="default"/>
      </w:rPr>
    </w:lvl>
    <w:lvl w:ilvl="1">
      <w:start w:val="274"/>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4"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03E772C6"/>
    <w:multiLevelType w:val="hybridMultilevel"/>
    <w:tmpl w:val="C778E33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03EC3453"/>
    <w:multiLevelType w:val="hybridMultilevel"/>
    <w:tmpl w:val="018CB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5"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7"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8" w15:restartNumberingAfterBreak="0">
    <w:nsid w:val="058B64F3"/>
    <w:multiLevelType w:val="multilevel"/>
    <w:tmpl w:val="F2565A06"/>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49" w15:restartNumberingAfterBreak="0">
    <w:nsid w:val="05C87C71"/>
    <w:multiLevelType w:val="hybridMultilevel"/>
    <w:tmpl w:val="7F2668D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05E84DC2"/>
    <w:multiLevelType w:val="multilevel"/>
    <w:tmpl w:val="05E84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06522EEA"/>
    <w:multiLevelType w:val="multilevel"/>
    <w:tmpl w:val="ECE806F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5" w15:restartNumberingAfterBreak="0">
    <w:nsid w:val="0665711B"/>
    <w:multiLevelType w:val="multilevel"/>
    <w:tmpl w:val="1D746F46"/>
    <w:lvl w:ilvl="0">
      <w:start w:val="1"/>
      <w:numFmt w:val="bullet"/>
      <w:lvlText w:val="•"/>
      <w:lvlJc w:val="left"/>
      <w:pPr>
        <w:tabs>
          <w:tab w:val="num" w:pos="-400"/>
        </w:tabs>
        <w:ind w:left="400" w:hanging="400"/>
      </w:pPr>
      <w:rPr>
        <w:rFonts w:ascii="Arial" w:hAnsi="Arial" w:cs="Arial" w:hint="default"/>
      </w:rPr>
    </w:lvl>
    <w:lvl w:ilvl="1">
      <w:start w:val="1"/>
      <w:numFmt w:val="bullet"/>
      <w:lvlText w:val=""/>
      <w:lvlJc w:val="left"/>
      <w:pPr>
        <w:tabs>
          <w:tab w:val="num" w:pos="-400"/>
        </w:tabs>
        <w:ind w:left="800" w:hanging="400"/>
      </w:pPr>
      <w:rPr>
        <w:rFonts w:ascii="Wingdings" w:hAnsi="Wingdings" w:cs="Wingdings" w:hint="default"/>
      </w:rPr>
    </w:lvl>
    <w:lvl w:ilvl="2">
      <w:start w:val="1"/>
      <w:numFmt w:val="bullet"/>
      <w:lvlText w:val=""/>
      <w:lvlJc w:val="left"/>
      <w:pPr>
        <w:tabs>
          <w:tab w:val="num" w:pos="-400"/>
        </w:tabs>
        <w:ind w:left="1200" w:hanging="400"/>
      </w:pPr>
      <w:rPr>
        <w:rFonts w:ascii="Wingdings" w:hAnsi="Wingdings" w:cs="Wingdings" w:hint="default"/>
      </w:rPr>
    </w:lvl>
    <w:lvl w:ilvl="3">
      <w:start w:val="1"/>
      <w:numFmt w:val="bullet"/>
      <w:lvlText w:val=""/>
      <w:lvlJc w:val="left"/>
      <w:pPr>
        <w:tabs>
          <w:tab w:val="num" w:pos="-400"/>
        </w:tabs>
        <w:ind w:left="1600" w:hanging="400"/>
      </w:pPr>
      <w:rPr>
        <w:rFonts w:ascii="Wingdings" w:hAnsi="Wingdings" w:cs="Wingdings" w:hint="default"/>
      </w:rPr>
    </w:lvl>
    <w:lvl w:ilvl="4">
      <w:start w:val="1"/>
      <w:numFmt w:val="bullet"/>
      <w:lvlText w:val=""/>
      <w:lvlJc w:val="left"/>
      <w:pPr>
        <w:tabs>
          <w:tab w:val="num" w:pos="-400"/>
        </w:tabs>
        <w:ind w:left="2000" w:hanging="400"/>
      </w:pPr>
      <w:rPr>
        <w:rFonts w:ascii="Wingdings" w:hAnsi="Wingdings" w:cs="Wingdings" w:hint="default"/>
      </w:rPr>
    </w:lvl>
    <w:lvl w:ilvl="5">
      <w:start w:val="1"/>
      <w:numFmt w:val="bullet"/>
      <w:lvlText w:val=""/>
      <w:lvlJc w:val="left"/>
      <w:pPr>
        <w:tabs>
          <w:tab w:val="num" w:pos="-400"/>
        </w:tabs>
        <w:ind w:left="2400" w:hanging="400"/>
      </w:pPr>
      <w:rPr>
        <w:rFonts w:ascii="Wingdings" w:hAnsi="Wingdings" w:cs="Wingdings" w:hint="default"/>
      </w:rPr>
    </w:lvl>
    <w:lvl w:ilvl="6">
      <w:start w:val="1"/>
      <w:numFmt w:val="bullet"/>
      <w:lvlText w:val=""/>
      <w:lvlJc w:val="left"/>
      <w:pPr>
        <w:tabs>
          <w:tab w:val="num" w:pos="-400"/>
        </w:tabs>
        <w:ind w:left="2800" w:hanging="400"/>
      </w:pPr>
      <w:rPr>
        <w:rFonts w:ascii="Wingdings" w:hAnsi="Wingdings" w:cs="Wingdings" w:hint="default"/>
      </w:rPr>
    </w:lvl>
    <w:lvl w:ilvl="7">
      <w:start w:val="1"/>
      <w:numFmt w:val="bullet"/>
      <w:lvlText w:val=""/>
      <w:lvlJc w:val="left"/>
      <w:pPr>
        <w:tabs>
          <w:tab w:val="num" w:pos="-400"/>
        </w:tabs>
        <w:ind w:left="3200" w:hanging="400"/>
      </w:pPr>
      <w:rPr>
        <w:rFonts w:ascii="Wingdings" w:hAnsi="Wingdings" w:cs="Wingdings" w:hint="default"/>
      </w:rPr>
    </w:lvl>
    <w:lvl w:ilvl="8">
      <w:start w:val="1"/>
      <w:numFmt w:val="bullet"/>
      <w:lvlText w:val=""/>
      <w:lvlJc w:val="left"/>
      <w:pPr>
        <w:tabs>
          <w:tab w:val="num" w:pos="-400"/>
        </w:tabs>
        <w:ind w:left="3600" w:hanging="400"/>
      </w:pPr>
      <w:rPr>
        <w:rFonts w:ascii="Wingdings" w:hAnsi="Wingdings" w:cs="Wingdings" w:hint="default"/>
      </w:rPr>
    </w:lvl>
  </w:abstractNum>
  <w:abstractNum w:abstractNumId="56"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7"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70" w15:restartNumberingAfterBreak="0">
    <w:nsid w:val="07E21030"/>
    <w:multiLevelType w:val="hybridMultilevel"/>
    <w:tmpl w:val="46828082"/>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666A460A">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1"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08196932"/>
    <w:multiLevelType w:val="hybridMultilevel"/>
    <w:tmpl w:val="CF2E9E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089E53C7"/>
    <w:multiLevelType w:val="multilevel"/>
    <w:tmpl w:val="089E5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7"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9"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2" w15:restartNumberingAfterBreak="0">
    <w:nsid w:val="0A021C76"/>
    <w:multiLevelType w:val="multilevel"/>
    <w:tmpl w:val="0A021C7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3"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0A366745"/>
    <w:multiLevelType w:val="hybridMultilevel"/>
    <w:tmpl w:val="10A4B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0A773250"/>
    <w:multiLevelType w:val="hybridMultilevel"/>
    <w:tmpl w:val="EC809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0A7C56AD"/>
    <w:multiLevelType w:val="multilevel"/>
    <w:tmpl w:val="0A7C56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0AC311AC"/>
    <w:multiLevelType w:val="multilevel"/>
    <w:tmpl w:val="0AC311A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9"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4" w15:restartNumberingAfterBreak="0">
    <w:nsid w:val="0B962A2B"/>
    <w:multiLevelType w:val="multilevel"/>
    <w:tmpl w:val="0B962A2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5"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6"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0BCE7CDF"/>
    <w:multiLevelType w:val="multilevel"/>
    <w:tmpl w:val="0BCE7C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8"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05"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7"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0DE40B22"/>
    <w:multiLevelType w:val="hybridMultilevel"/>
    <w:tmpl w:val="839202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0DFC2B4D"/>
    <w:multiLevelType w:val="multilevel"/>
    <w:tmpl w:val="0DFC2B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2"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0E4C22E7"/>
    <w:multiLevelType w:val="hybridMultilevel"/>
    <w:tmpl w:val="D1C651CE"/>
    <w:lvl w:ilvl="0" w:tplc="DE784A96">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8"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0EFA46C3"/>
    <w:multiLevelType w:val="hybridMultilevel"/>
    <w:tmpl w:val="8F682236"/>
    <w:lvl w:ilvl="0" w:tplc="40DEFC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0"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2"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4" w15:restartNumberingAfterBreak="0">
    <w:nsid w:val="0F671AC2"/>
    <w:multiLevelType w:val="hybridMultilevel"/>
    <w:tmpl w:val="62A4C7F8"/>
    <w:lvl w:ilvl="0" w:tplc="F2D0A1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5"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10094E03"/>
    <w:multiLevelType w:val="multilevel"/>
    <w:tmpl w:val="10094E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9"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33"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134"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5" w15:restartNumberingAfterBreak="0">
    <w:nsid w:val="10AE05C0"/>
    <w:multiLevelType w:val="hybridMultilevel"/>
    <w:tmpl w:val="7F928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6"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8"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0"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43" w15:restartNumberingAfterBreak="0">
    <w:nsid w:val="118976F0"/>
    <w:multiLevelType w:val="hybridMultilevel"/>
    <w:tmpl w:val="47E2F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11C5636B"/>
    <w:multiLevelType w:val="multilevel"/>
    <w:tmpl w:val="11C563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6"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8"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0"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51"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2"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3"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4"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5"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56" w15:restartNumberingAfterBreak="0">
    <w:nsid w:val="13722D5F"/>
    <w:multiLevelType w:val="hybridMultilevel"/>
    <w:tmpl w:val="822EC88A"/>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7"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8"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9" w15:restartNumberingAfterBreak="0">
    <w:nsid w:val="13A433F2"/>
    <w:multiLevelType w:val="multilevel"/>
    <w:tmpl w:val="13A433F2"/>
    <w:lvl w:ilvl="0">
      <w:start w:val="1"/>
      <w:numFmt w:val="bullet"/>
      <w:lvlText w:val=""/>
      <w:lvlJc w:val="left"/>
      <w:pPr>
        <w:ind w:left="833" w:hanging="360"/>
      </w:pPr>
      <w:rPr>
        <w:rFonts w:ascii="Symbol" w:hAnsi="Symbol"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160"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1" w15:restartNumberingAfterBreak="0">
    <w:nsid w:val="13B65019"/>
    <w:multiLevelType w:val="multilevel"/>
    <w:tmpl w:val="13B6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2"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4"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65" w15:restartNumberingAfterBreak="0">
    <w:nsid w:val="143D2EA7"/>
    <w:multiLevelType w:val="hybridMultilevel"/>
    <w:tmpl w:val="D91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7"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8" w15:restartNumberingAfterBreak="0">
    <w:nsid w:val="14F07F2C"/>
    <w:multiLevelType w:val="multilevel"/>
    <w:tmpl w:val="14F07F2C"/>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9"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0" w15:restartNumberingAfterBreak="0">
    <w:nsid w:val="150D454D"/>
    <w:multiLevelType w:val="hybridMultilevel"/>
    <w:tmpl w:val="DA5A41CC"/>
    <w:lvl w:ilvl="0" w:tplc="04090001">
      <w:start w:val="1"/>
      <w:numFmt w:val="bullet"/>
      <w:lvlText w:val=""/>
      <w:lvlJc w:val="left"/>
      <w:pPr>
        <w:ind w:left="360" w:hanging="360"/>
      </w:pPr>
      <w:rPr>
        <w:rFonts w:ascii="Symbol" w:hAnsi="Symbol" w:hint="default"/>
        <w:sz w:val="20"/>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71" w15:restartNumberingAfterBreak="0">
    <w:nsid w:val="152F570D"/>
    <w:multiLevelType w:val="hybridMultilevel"/>
    <w:tmpl w:val="C018EE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2"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3"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74"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6"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8"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9" w15:restartNumberingAfterBreak="0">
    <w:nsid w:val="1609002D"/>
    <w:multiLevelType w:val="hybridMultilevel"/>
    <w:tmpl w:val="F1782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16254087"/>
    <w:multiLevelType w:val="hybridMultilevel"/>
    <w:tmpl w:val="6CD45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82" w15:restartNumberingAfterBreak="0">
    <w:nsid w:val="165A39D7"/>
    <w:multiLevelType w:val="multilevel"/>
    <w:tmpl w:val="165A39D7"/>
    <w:lvl w:ilvl="0">
      <w:start w:val="1"/>
      <w:numFmt w:val="bullet"/>
      <w:lvlText w:val=""/>
      <w:lvlJc w:val="left"/>
      <w:pPr>
        <w:ind w:left="720" w:hanging="360"/>
      </w:pPr>
      <w:rPr>
        <w:rFonts w:ascii="Symbol" w:eastAsia="Times New Roman" w:hAnsi="Symbol" w:hint="default"/>
        <w:u w:val="none"/>
      </w:rPr>
    </w:lvl>
    <w:lvl w:ilvl="1">
      <w:start w:val="1"/>
      <w:numFmt w:val="bullet"/>
      <w:lvlText w:val="o"/>
      <w:lvlJc w:val="left"/>
      <w:pPr>
        <w:ind w:left="1440" w:hanging="360"/>
      </w:pPr>
      <w:rPr>
        <w:rFonts w:ascii="Courier New" w:eastAsia="Times New Roman" w:hAnsi="Courier New" w:cs="Courier New" w:hint="default"/>
        <w:u w:val="none"/>
      </w:rPr>
    </w:lvl>
    <w:lvl w:ilvl="2">
      <w:start w:val="1"/>
      <w:numFmt w:val="bullet"/>
      <w:lvlText w:val=""/>
      <w:lvlJc w:val="left"/>
      <w:pPr>
        <w:ind w:left="2160" w:hanging="360"/>
      </w:pPr>
      <w:rPr>
        <w:rFonts w:ascii="Wingdings" w:eastAsia="Times New Roman" w:hAnsi="Wingdings" w:hint="default"/>
        <w:u w:val="none"/>
      </w:rPr>
    </w:lvl>
    <w:lvl w:ilvl="3">
      <w:start w:val="1"/>
      <w:numFmt w:val="bullet"/>
      <w:lvlText w:val=""/>
      <w:lvlJc w:val="left"/>
      <w:pPr>
        <w:ind w:left="2880" w:hanging="360"/>
      </w:pPr>
      <w:rPr>
        <w:rFonts w:ascii="Symbol" w:eastAsia="Times New Roman" w:hAnsi="Symbol" w:hint="default"/>
        <w:u w:val="none"/>
      </w:rPr>
    </w:lvl>
    <w:lvl w:ilvl="4">
      <w:start w:val="1"/>
      <w:numFmt w:val="bullet"/>
      <w:lvlText w:val="o"/>
      <w:lvlJc w:val="left"/>
      <w:pPr>
        <w:ind w:left="3600" w:hanging="360"/>
      </w:pPr>
      <w:rPr>
        <w:rFonts w:ascii="Courier New" w:eastAsia="Times New Roman" w:hAnsi="Courier New" w:cs="Courier New" w:hint="default"/>
        <w:u w:val="none"/>
      </w:rPr>
    </w:lvl>
    <w:lvl w:ilvl="5">
      <w:start w:val="1"/>
      <w:numFmt w:val="bullet"/>
      <w:lvlText w:val=""/>
      <w:lvlJc w:val="left"/>
      <w:pPr>
        <w:ind w:left="4320" w:hanging="360"/>
      </w:pPr>
      <w:rPr>
        <w:rFonts w:ascii="Wingdings" w:eastAsia="Times New Roman" w:hAnsi="Wingdings" w:hint="default"/>
        <w:u w:val="none"/>
      </w:rPr>
    </w:lvl>
    <w:lvl w:ilvl="6">
      <w:start w:val="1"/>
      <w:numFmt w:val="bullet"/>
      <w:lvlText w:val=""/>
      <w:lvlJc w:val="left"/>
      <w:pPr>
        <w:ind w:left="5040" w:hanging="360"/>
      </w:pPr>
      <w:rPr>
        <w:rFonts w:ascii="Symbol" w:eastAsia="Times New Roman" w:hAnsi="Symbol" w:hint="default"/>
        <w:u w:val="none"/>
      </w:rPr>
    </w:lvl>
    <w:lvl w:ilvl="7">
      <w:start w:val="1"/>
      <w:numFmt w:val="bullet"/>
      <w:lvlText w:val="o"/>
      <w:lvlJc w:val="left"/>
      <w:pPr>
        <w:ind w:left="5760" w:hanging="360"/>
      </w:pPr>
      <w:rPr>
        <w:rFonts w:ascii="Courier New" w:eastAsia="Times New Roman" w:hAnsi="Courier New" w:cs="Courier New" w:hint="default"/>
        <w:u w:val="none"/>
      </w:rPr>
    </w:lvl>
    <w:lvl w:ilvl="8">
      <w:start w:val="1"/>
      <w:numFmt w:val="bullet"/>
      <w:lvlText w:val=""/>
      <w:lvlJc w:val="left"/>
      <w:pPr>
        <w:ind w:left="6480" w:hanging="360"/>
      </w:pPr>
      <w:rPr>
        <w:rFonts w:ascii="Wingdings" w:eastAsia="Times New Roman" w:hAnsi="Wingdings" w:hint="default"/>
        <w:u w:val="none"/>
      </w:rPr>
    </w:lvl>
  </w:abstractNum>
  <w:abstractNum w:abstractNumId="183"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5"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87" w15:restartNumberingAfterBreak="0">
    <w:nsid w:val="168A5698"/>
    <w:multiLevelType w:val="hybridMultilevel"/>
    <w:tmpl w:val="CEB8F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9"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1" w15:restartNumberingAfterBreak="0">
    <w:nsid w:val="16BD130D"/>
    <w:multiLevelType w:val="multilevel"/>
    <w:tmpl w:val="F594F82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3"/>
      <w:numFmt w:val="bullet"/>
      <w:lvlText w:val="-"/>
      <w:lvlJc w:val="left"/>
      <w:pPr>
        <w:ind w:left="2106" w:hanging="420"/>
      </w:pPr>
      <w:rPr>
        <w:rFonts w:ascii="Times New Roman" w:eastAsia="SimSu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92"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93" w15:restartNumberingAfterBreak="0">
    <w:nsid w:val="17037894"/>
    <w:multiLevelType w:val="hybridMultilevel"/>
    <w:tmpl w:val="401C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5"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96"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7"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98"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9"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200" w15:restartNumberingAfterBreak="0">
    <w:nsid w:val="17CC2BE1"/>
    <w:multiLevelType w:val="multilevel"/>
    <w:tmpl w:val="34F6169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01" w15:restartNumberingAfterBreak="0">
    <w:nsid w:val="17E31F95"/>
    <w:multiLevelType w:val="multilevel"/>
    <w:tmpl w:val="17E31F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2"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18786352"/>
    <w:multiLevelType w:val="multilevel"/>
    <w:tmpl w:val="187863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6"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7"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9"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10"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1"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2"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3"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5"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6"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7" w15:restartNumberingAfterBreak="0">
    <w:nsid w:val="19F03F26"/>
    <w:multiLevelType w:val="hybridMultilevel"/>
    <w:tmpl w:val="CCDCCD98"/>
    <w:lvl w:ilvl="0" w:tplc="D4DEC65A">
      <w:start w:val="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19FC12EF"/>
    <w:multiLevelType w:val="multilevel"/>
    <w:tmpl w:val="19FC12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9"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5"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27" w15:restartNumberingAfterBreak="0">
    <w:nsid w:val="1B3E402D"/>
    <w:multiLevelType w:val="hybridMultilevel"/>
    <w:tmpl w:val="802A6E0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8"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9"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1" w15:restartNumberingAfterBreak="0">
    <w:nsid w:val="1C4B201A"/>
    <w:multiLevelType w:val="multilevel"/>
    <w:tmpl w:val="1C4B20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2"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4"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235"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6"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38"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9" w15:restartNumberingAfterBreak="0">
    <w:nsid w:val="1D201993"/>
    <w:multiLevelType w:val="multilevel"/>
    <w:tmpl w:val="1D2019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0"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1"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2" w15:restartNumberingAfterBreak="0">
    <w:nsid w:val="1D83745A"/>
    <w:multiLevelType w:val="hybridMultilevel"/>
    <w:tmpl w:val="CEB23B1E"/>
    <w:lvl w:ilvl="0" w:tplc="F5C67100">
      <w:start w:val="1"/>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3"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4"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245"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6"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47" w15:restartNumberingAfterBreak="0">
    <w:nsid w:val="1DDF3BA0"/>
    <w:multiLevelType w:val="multilevel"/>
    <w:tmpl w:val="1DDF3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8"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49"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0"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1" w15:restartNumberingAfterBreak="0">
    <w:nsid w:val="1EB07122"/>
    <w:multiLevelType w:val="multilevel"/>
    <w:tmpl w:val="1EB07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2"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3" w15:restartNumberingAfterBreak="0">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1F24720D"/>
    <w:multiLevelType w:val="multilevel"/>
    <w:tmpl w:val="1F24720D"/>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6"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257"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2"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3" w15:restartNumberingAfterBreak="0">
    <w:nsid w:val="1FEF4448"/>
    <w:multiLevelType w:val="multilevel"/>
    <w:tmpl w:val="1FEF44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4"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5" w15:restartNumberingAfterBreak="0">
    <w:nsid w:val="201629D4"/>
    <w:multiLevelType w:val="hybridMultilevel"/>
    <w:tmpl w:val="B92AF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15:restartNumberingAfterBreak="0">
    <w:nsid w:val="20313250"/>
    <w:multiLevelType w:val="multilevel"/>
    <w:tmpl w:val="B07E50D0"/>
    <w:lvl w:ilvl="0">
      <w:start w:val="5"/>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69"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2" w15:restartNumberingAfterBreak="0">
    <w:nsid w:val="20773901"/>
    <w:multiLevelType w:val="multilevel"/>
    <w:tmpl w:val="207739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3"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74"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5"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6"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7" w15:restartNumberingAfterBreak="0">
    <w:nsid w:val="20F749CB"/>
    <w:multiLevelType w:val="multilevel"/>
    <w:tmpl w:val="20F749CB"/>
    <w:lvl w:ilvl="0">
      <w:start w:val="11"/>
      <w:numFmt w:val="bullet"/>
      <w:lvlText w:val="-"/>
      <w:lvlJc w:val="left"/>
      <w:pPr>
        <w:ind w:left="720" w:hanging="360"/>
      </w:pPr>
      <w:rPr>
        <w:rFonts w:ascii="Nokia Pure Text Light" w:eastAsia="DengXian" w:hAnsi="Nokia Pure Text Light" w:cs="Nokia Pure Text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8" w15:restartNumberingAfterBreak="0">
    <w:nsid w:val="21381E00"/>
    <w:multiLevelType w:val="hybridMultilevel"/>
    <w:tmpl w:val="36907B0E"/>
    <w:lvl w:ilvl="0" w:tplc="D846A5B8">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9"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0"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1" w15:restartNumberingAfterBreak="0">
    <w:nsid w:val="21A56C50"/>
    <w:multiLevelType w:val="multilevel"/>
    <w:tmpl w:val="21A5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2" w15:restartNumberingAfterBreak="0">
    <w:nsid w:val="21C65F44"/>
    <w:multiLevelType w:val="multilevel"/>
    <w:tmpl w:val="E272CDD2"/>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83" w15:restartNumberingAfterBreak="0">
    <w:nsid w:val="21F202C0"/>
    <w:multiLevelType w:val="multilevel"/>
    <w:tmpl w:val="21F202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4"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5"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6"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7"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8"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9"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0"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91"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2"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3"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4" w15:restartNumberingAfterBreak="0">
    <w:nsid w:val="22FC432A"/>
    <w:multiLevelType w:val="hybridMultilevel"/>
    <w:tmpl w:val="FB046FB2"/>
    <w:lvl w:ilvl="0" w:tplc="465A7D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5" w15:restartNumberingAfterBreak="0">
    <w:nsid w:val="235B0ADB"/>
    <w:multiLevelType w:val="multilevel"/>
    <w:tmpl w:val="235B0A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6" w15:restartNumberingAfterBreak="0">
    <w:nsid w:val="23605657"/>
    <w:multiLevelType w:val="hybridMultilevel"/>
    <w:tmpl w:val="B33CAD3A"/>
    <w:lvl w:ilvl="0" w:tplc="231A11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7"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8" w15:restartNumberingAfterBreak="0">
    <w:nsid w:val="23A22B05"/>
    <w:multiLevelType w:val="multilevel"/>
    <w:tmpl w:val="23A22B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0"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1"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02"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3"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4"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5"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6"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7" w15:restartNumberingAfterBreak="0">
    <w:nsid w:val="24CC5659"/>
    <w:multiLevelType w:val="multilevel"/>
    <w:tmpl w:val="24CC56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8"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9"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DengXian"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0"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2" w15:restartNumberingAfterBreak="0">
    <w:nsid w:val="255F7455"/>
    <w:multiLevelType w:val="multilevel"/>
    <w:tmpl w:val="6C0A3C48"/>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13"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4"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5"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6" w15:restartNumberingAfterBreak="0">
    <w:nsid w:val="2614199F"/>
    <w:multiLevelType w:val="hybridMultilevel"/>
    <w:tmpl w:val="42C6FDE8"/>
    <w:lvl w:ilvl="0" w:tplc="FFFFFFFF">
      <w:start w:val="1"/>
      <w:numFmt w:val="bullet"/>
      <w:lvlText w:val="o"/>
      <w:lvlJc w:val="left"/>
      <w:pPr>
        <w:ind w:left="440" w:hanging="440"/>
      </w:pPr>
      <w:rPr>
        <w:rFonts w:ascii="Courier New" w:hAnsi="Courier New" w:cs="Courier New" w:hint="default"/>
      </w:rPr>
    </w:lvl>
    <w:lvl w:ilvl="1" w:tplc="FFFFFFFF">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17" w15:restartNumberingAfterBreak="0">
    <w:nsid w:val="261A74E1"/>
    <w:multiLevelType w:val="multilevel"/>
    <w:tmpl w:val="261A74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8"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9"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0"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1" w15:restartNumberingAfterBreak="0">
    <w:nsid w:val="26A373C3"/>
    <w:multiLevelType w:val="multilevel"/>
    <w:tmpl w:val="26A373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2" w15:restartNumberingAfterBreak="0">
    <w:nsid w:val="2700581D"/>
    <w:multiLevelType w:val="hybridMultilevel"/>
    <w:tmpl w:val="BFBC2072"/>
    <w:lvl w:ilvl="0" w:tplc="F5C67100">
      <w:start w:val="1"/>
      <w:numFmt w:val="bullet"/>
      <w:lvlText w:val=""/>
      <w:lvlJc w:val="left"/>
      <w:pPr>
        <w:ind w:left="1219" w:hanging="420"/>
      </w:pPr>
      <w:rPr>
        <w:rFonts w:ascii="Symbol" w:eastAsia="SimSun" w:hAnsi="Symbol" w:cs="Times New Roman"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23"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4"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5" w15:restartNumberingAfterBreak="0">
    <w:nsid w:val="27773E21"/>
    <w:multiLevelType w:val="hybridMultilevel"/>
    <w:tmpl w:val="876CAF26"/>
    <w:lvl w:ilvl="0" w:tplc="2CD2C8E2">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6"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7"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8"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9" w15:restartNumberingAfterBreak="0">
    <w:nsid w:val="27DD7093"/>
    <w:multiLevelType w:val="multilevel"/>
    <w:tmpl w:val="27DD7093"/>
    <w:lvl w:ilvl="0">
      <w:numFmt w:val="bullet"/>
      <w:lvlText w:val="-"/>
      <w:lvlJc w:val="left"/>
      <w:pPr>
        <w:ind w:left="720" w:hanging="360"/>
      </w:pPr>
      <w:rPr>
        <w:rFonts w:ascii="Yu Mincho" w:eastAsia="Yu Mincho" w:hAnsi="Yu Mincho"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0"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2"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3"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4"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5"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29927205"/>
    <w:multiLevelType w:val="hybridMultilevel"/>
    <w:tmpl w:val="1C1E1A9C"/>
    <w:lvl w:ilvl="0" w:tplc="4202C932">
      <w:start w:val="1"/>
      <w:numFmt w:val="bullet"/>
      <w:lvlText w:val=""/>
      <w:lvlJc w:val="left"/>
      <w:pPr>
        <w:ind w:left="1219" w:hanging="420"/>
      </w:pPr>
      <w:rPr>
        <w:rFonts w:ascii="Symbol" w:eastAsia="MS Mincho" w:hAnsi="Symbol" w:cs="Times New Roman"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37" w15:restartNumberingAfterBreak="0">
    <w:nsid w:val="29B53A00"/>
    <w:multiLevelType w:val="hybridMultilevel"/>
    <w:tmpl w:val="9ACE7A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0"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1"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2"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3"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4"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5"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6"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7"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48"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9" w15:restartNumberingAfterBreak="0">
    <w:nsid w:val="2B713DCA"/>
    <w:multiLevelType w:val="hybridMultilevel"/>
    <w:tmpl w:val="53BE2550"/>
    <w:lvl w:ilvl="0" w:tplc="5C6C2CFC">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0"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351" w15:restartNumberingAfterBreak="0">
    <w:nsid w:val="2BAE76D6"/>
    <w:multiLevelType w:val="multilevel"/>
    <w:tmpl w:val="2BAE76D6"/>
    <w:lvl w:ilvl="0">
      <w:start w:val="11"/>
      <w:numFmt w:val="bullet"/>
      <w:lvlText w:val="-"/>
      <w:lvlJc w:val="left"/>
      <w:pPr>
        <w:ind w:left="720" w:hanging="360"/>
      </w:pPr>
      <w:rPr>
        <w:rFonts w:ascii="Nokia Pure Text Light" w:eastAsia="DengXian" w:hAnsi="Nokia Pure Text Light" w:cs="Nokia Pure Text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2" w15:restartNumberingAfterBreak="0">
    <w:nsid w:val="2BB923A5"/>
    <w:multiLevelType w:val="multilevel"/>
    <w:tmpl w:val="7D8B097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53"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4"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55" w15:restartNumberingAfterBreak="0">
    <w:nsid w:val="2C5A4746"/>
    <w:multiLevelType w:val="multilevel"/>
    <w:tmpl w:val="2C5A4746"/>
    <w:lvl w:ilvl="0">
      <w:start w:val="1"/>
      <w:numFmt w:val="bullet"/>
      <w:lvlText w:val="-"/>
      <w:lvlJc w:val="left"/>
      <w:pPr>
        <w:ind w:left="420" w:hanging="420"/>
      </w:pPr>
      <w:rPr>
        <w:rFonts w:ascii="Times" w:hAnsi="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6"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58"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9"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0"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61"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2" w15:restartNumberingAfterBreak="0">
    <w:nsid w:val="2D376286"/>
    <w:multiLevelType w:val="multilevel"/>
    <w:tmpl w:val="2D3762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3"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4"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5" w15:restartNumberingAfterBreak="0">
    <w:nsid w:val="2D973E59"/>
    <w:multiLevelType w:val="multilevel"/>
    <w:tmpl w:val="3CA88DA2"/>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60" w:hanging="44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66"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7" w15:restartNumberingAfterBreak="0">
    <w:nsid w:val="2DCD5C51"/>
    <w:multiLevelType w:val="hybridMultilevel"/>
    <w:tmpl w:val="BE74E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9"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0"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1"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3"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4"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5" w15:restartNumberingAfterBreak="0">
    <w:nsid w:val="2EA779C7"/>
    <w:multiLevelType w:val="multilevel"/>
    <w:tmpl w:val="2EA779C7"/>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6"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8"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9"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0"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81" w15:restartNumberingAfterBreak="0">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2"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3"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4"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5"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6"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7"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8"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9" w15:restartNumberingAfterBreak="0">
    <w:nsid w:val="310E35BF"/>
    <w:multiLevelType w:val="multilevel"/>
    <w:tmpl w:val="310E35B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0"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1" w15:restartNumberingAfterBreak="0">
    <w:nsid w:val="31541149"/>
    <w:multiLevelType w:val="multilevel"/>
    <w:tmpl w:val="31541149"/>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92"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3"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4"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5"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6"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7"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8"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99"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0"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1"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2" w15:restartNumberingAfterBreak="0">
    <w:nsid w:val="32702C28"/>
    <w:multiLevelType w:val="multilevel"/>
    <w:tmpl w:val="32702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3"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4"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5"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06"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7"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08"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9" w15:restartNumberingAfterBreak="0">
    <w:nsid w:val="337B3B5C"/>
    <w:multiLevelType w:val="hybridMultilevel"/>
    <w:tmpl w:val="EC587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0" w15:restartNumberingAfterBreak="0">
    <w:nsid w:val="337C6A43"/>
    <w:multiLevelType w:val="hybridMultilevel"/>
    <w:tmpl w:val="9F84F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1"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2"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3"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4"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5" w15:restartNumberingAfterBreak="0">
    <w:nsid w:val="34025C76"/>
    <w:multiLevelType w:val="hybridMultilevel"/>
    <w:tmpl w:val="E5547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6"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7"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8"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9" w15:restartNumberingAfterBreak="0">
    <w:nsid w:val="348335C8"/>
    <w:multiLevelType w:val="hybridMultilevel"/>
    <w:tmpl w:val="8D2AE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0" w15:restartNumberingAfterBreak="0">
    <w:nsid w:val="349154C6"/>
    <w:multiLevelType w:val="hybridMultilevel"/>
    <w:tmpl w:val="AB509D98"/>
    <w:lvl w:ilvl="0" w:tplc="FB989FFC">
      <w:start w:val="1"/>
      <w:numFmt w:val="bullet"/>
      <w:lvlText w:val="•"/>
      <w:lvlJc w:val="left"/>
      <w:pPr>
        <w:ind w:left="420" w:hanging="420"/>
      </w:pPr>
      <w:rPr>
        <w:rFonts w:ascii="Calibri" w:hAnsi="Calibri" w:hint="default"/>
      </w:rPr>
    </w:lvl>
    <w:lvl w:ilvl="1" w:tplc="CA687D06">
      <w:start w:val="1"/>
      <w:numFmt w:val="bullet"/>
      <w:lvlText w:val="−"/>
      <w:lvlJc w:val="left"/>
      <w:pPr>
        <w:ind w:left="840" w:hanging="420"/>
      </w:pPr>
      <w:rPr>
        <w:rFonts w:ascii="Calibri" w:hAnsi="Calibri" w:hint="default"/>
      </w:rPr>
    </w:lvl>
    <w:lvl w:ilvl="2" w:tplc="269EED64">
      <w:start w:val="1"/>
      <w:numFmt w:val="bullet"/>
      <w:lvlText w:val="w"/>
      <w:lvlJc w:val="left"/>
      <w:pPr>
        <w:ind w:left="1200" w:hanging="36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1"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422"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24"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5"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6"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7"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8"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9"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0"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1"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432"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3"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4"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5" w15:restartNumberingAfterBreak="0">
    <w:nsid w:val="37632050"/>
    <w:multiLevelType w:val="hybridMultilevel"/>
    <w:tmpl w:val="B7583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6"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437"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8"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9" w15:restartNumberingAfterBreak="0">
    <w:nsid w:val="37A562AB"/>
    <w:multiLevelType w:val="multilevel"/>
    <w:tmpl w:val="37A562AB"/>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40"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1"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442" w15:restartNumberingAfterBreak="0">
    <w:nsid w:val="37E46072"/>
    <w:multiLevelType w:val="multilevel"/>
    <w:tmpl w:val="37E460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3"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4"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6"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7"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8"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9"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0"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1"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2" w15:restartNumberingAfterBreak="0">
    <w:nsid w:val="38A9769D"/>
    <w:multiLevelType w:val="multilevel"/>
    <w:tmpl w:val="38A9769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3"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4"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5"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6"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457"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458"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DengXia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9"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0"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1"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62" w15:restartNumberingAfterBreak="0">
    <w:nsid w:val="3A00618E"/>
    <w:multiLevelType w:val="multilevel"/>
    <w:tmpl w:val="3A00618E"/>
    <w:lvl w:ilvl="0">
      <w:numFmt w:val="bullet"/>
      <w:lvlText w:val="-"/>
      <w:lvlJc w:val="left"/>
      <w:pPr>
        <w:ind w:left="360" w:hanging="360"/>
      </w:pPr>
      <w:rPr>
        <w:rFonts w:ascii="Times New Roman" w:eastAsia="DengXian" w:hAnsi="Times New Roman" w:cs="Times New Roman" w:hint="default"/>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3"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464"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5"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6" w15:restartNumberingAfterBreak="0">
    <w:nsid w:val="3A4E787B"/>
    <w:multiLevelType w:val="multilevel"/>
    <w:tmpl w:val="3A4E787B"/>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7"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8"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9"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0" w15:restartNumberingAfterBreak="0">
    <w:nsid w:val="3B26692E"/>
    <w:multiLevelType w:val="multilevel"/>
    <w:tmpl w:val="16BD130D"/>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471"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2"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3"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4" w15:restartNumberingAfterBreak="0">
    <w:nsid w:val="3BEB5E68"/>
    <w:multiLevelType w:val="hybridMultilevel"/>
    <w:tmpl w:val="3EC0D166"/>
    <w:lvl w:ilvl="0" w:tplc="FD5072EC">
      <w:start w:val="1"/>
      <w:numFmt w:val="bullet"/>
      <w:lvlText w:val="-"/>
      <w:lvlJc w:val="left"/>
      <w:pPr>
        <w:ind w:left="440" w:hanging="440"/>
      </w:pPr>
      <w:rPr>
        <w:rFonts w:ascii="Arial" w:eastAsia="SimSun"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5"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6" w15:restartNumberingAfterBreak="0">
    <w:nsid w:val="3C0B2506"/>
    <w:multiLevelType w:val="multilevel"/>
    <w:tmpl w:val="3C0B2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7"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8"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79"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0"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1"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2"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3"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4"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5" w15:restartNumberingAfterBreak="0">
    <w:nsid w:val="3DB5172F"/>
    <w:multiLevelType w:val="hybridMultilevel"/>
    <w:tmpl w:val="292014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6"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7" w15:restartNumberingAfterBreak="0">
    <w:nsid w:val="3DFD5BAE"/>
    <w:multiLevelType w:val="hybridMultilevel"/>
    <w:tmpl w:val="B81EF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8"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9" w15:restartNumberingAfterBreak="0">
    <w:nsid w:val="3E4C2C3C"/>
    <w:multiLevelType w:val="hybridMultilevel"/>
    <w:tmpl w:val="7C5E8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0" w15:restartNumberingAfterBreak="0">
    <w:nsid w:val="3E601DAB"/>
    <w:multiLevelType w:val="hybridMultilevel"/>
    <w:tmpl w:val="D8F6FDC8"/>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1" w15:restartNumberingAfterBreak="0">
    <w:nsid w:val="3EA041ED"/>
    <w:multiLevelType w:val="multilevel"/>
    <w:tmpl w:val="3EA041E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2"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93"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4"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95"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6"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7"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8" w15:restartNumberingAfterBreak="0">
    <w:nsid w:val="3F887DF6"/>
    <w:multiLevelType w:val="multilevel"/>
    <w:tmpl w:val="3F887DF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9"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0"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01"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02"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3"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04" w15:restartNumberingAfterBreak="0">
    <w:nsid w:val="40DA23F6"/>
    <w:multiLevelType w:val="hybridMultilevel"/>
    <w:tmpl w:val="8C1EF6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5"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06" w15:restartNumberingAfterBreak="0">
    <w:nsid w:val="40E97C78"/>
    <w:multiLevelType w:val="multilevel"/>
    <w:tmpl w:val="40E97C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7"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8"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9"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0"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1" w15:restartNumberingAfterBreak="0">
    <w:nsid w:val="41906309"/>
    <w:multiLevelType w:val="multilevel"/>
    <w:tmpl w:val="41906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2"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3"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4"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5"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16" w15:restartNumberingAfterBreak="0">
    <w:nsid w:val="42213401"/>
    <w:multiLevelType w:val="hybridMultilevel"/>
    <w:tmpl w:val="9802F9B2"/>
    <w:lvl w:ilvl="0" w:tplc="4202C932">
      <w:start w:val="1"/>
      <w:numFmt w:val="bullet"/>
      <w:lvlText w:val=""/>
      <w:lvlJc w:val="left"/>
      <w:pPr>
        <w:ind w:left="944" w:hanging="420"/>
      </w:pPr>
      <w:rPr>
        <w:rFonts w:ascii="Symbol" w:eastAsia="MS Mincho" w:hAnsi="Symbol" w:cs="Times New Roman" w:hint="default"/>
      </w:rPr>
    </w:lvl>
    <w:lvl w:ilvl="1" w:tplc="04090003" w:tentative="1">
      <w:start w:val="1"/>
      <w:numFmt w:val="bullet"/>
      <w:lvlText w:val=""/>
      <w:lvlJc w:val="left"/>
      <w:pPr>
        <w:ind w:left="1364" w:hanging="420"/>
      </w:pPr>
      <w:rPr>
        <w:rFonts w:ascii="Wingdings" w:hAnsi="Wingdings" w:hint="default"/>
      </w:rPr>
    </w:lvl>
    <w:lvl w:ilvl="2" w:tplc="04090005" w:tentative="1">
      <w:start w:val="1"/>
      <w:numFmt w:val="bullet"/>
      <w:lvlText w:val=""/>
      <w:lvlJc w:val="left"/>
      <w:pPr>
        <w:ind w:left="1784" w:hanging="420"/>
      </w:pPr>
      <w:rPr>
        <w:rFonts w:ascii="Wingdings" w:hAnsi="Wingdings" w:hint="default"/>
      </w:rPr>
    </w:lvl>
    <w:lvl w:ilvl="3" w:tplc="04090001" w:tentative="1">
      <w:start w:val="1"/>
      <w:numFmt w:val="bullet"/>
      <w:lvlText w:val=""/>
      <w:lvlJc w:val="left"/>
      <w:pPr>
        <w:ind w:left="2204" w:hanging="420"/>
      </w:pPr>
      <w:rPr>
        <w:rFonts w:ascii="Wingdings" w:hAnsi="Wingdings" w:hint="default"/>
      </w:rPr>
    </w:lvl>
    <w:lvl w:ilvl="4" w:tplc="04090003" w:tentative="1">
      <w:start w:val="1"/>
      <w:numFmt w:val="bullet"/>
      <w:lvlText w:val=""/>
      <w:lvlJc w:val="left"/>
      <w:pPr>
        <w:ind w:left="2624" w:hanging="420"/>
      </w:pPr>
      <w:rPr>
        <w:rFonts w:ascii="Wingdings" w:hAnsi="Wingdings" w:hint="default"/>
      </w:rPr>
    </w:lvl>
    <w:lvl w:ilvl="5" w:tplc="04090005" w:tentative="1">
      <w:start w:val="1"/>
      <w:numFmt w:val="bullet"/>
      <w:lvlText w:val=""/>
      <w:lvlJc w:val="left"/>
      <w:pPr>
        <w:ind w:left="3044" w:hanging="420"/>
      </w:pPr>
      <w:rPr>
        <w:rFonts w:ascii="Wingdings" w:hAnsi="Wingdings" w:hint="default"/>
      </w:rPr>
    </w:lvl>
    <w:lvl w:ilvl="6" w:tplc="04090001" w:tentative="1">
      <w:start w:val="1"/>
      <w:numFmt w:val="bullet"/>
      <w:lvlText w:val=""/>
      <w:lvlJc w:val="left"/>
      <w:pPr>
        <w:ind w:left="3464" w:hanging="420"/>
      </w:pPr>
      <w:rPr>
        <w:rFonts w:ascii="Wingdings" w:hAnsi="Wingdings" w:hint="default"/>
      </w:rPr>
    </w:lvl>
    <w:lvl w:ilvl="7" w:tplc="04090003" w:tentative="1">
      <w:start w:val="1"/>
      <w:numFmt w:val="bullet"/>
      <w:lvlText w:val=""/>
      <w:lvlJc w:val="left"/>
      <w:pPr>
        <w:ind w:left="3884" w:hanging="420"/>
      </w:pPr>
      <w:rPr>
        <w:rFonts w:ascii="Wingdings" w:hAnsi="Wingdings" w:hint="default"/>
      </w:rPr>
    </w:lvl>
    <w:lvl w:ilvl="8" w:tplc="04090005" w:tentative="1">
      <w:start w:val="1"/>
      <w:numFmt w:val="bullet"/>
      <w:lvlText w:val=""/>
      <w:lvlJc w:val="left"/>
      <w:pPr>
        <w:ind w:left="4304" w:hanging="420"/>
      </w:pPr>
      <w:rPr>
        <w:rFonts w:ascii="Wingdings" w:hAnsi="Wingdings" w:hint="default"/>
      </w:rPr>
    </w:lvl>
  </w:abstractNum>
  <w:abstractNum w:abstractNumId="517"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8"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9"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0"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1"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3"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4"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5"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2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527" w15:restartNumberingAfterBreak="0">
    <w:nsid w:val="43096C59"/>
    <w:multiLevelType w:val="hybridMultilevel"/>
    <w:tmpl w:val="E6303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8"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29"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0"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31"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2"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33"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4"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5" w15:restartNumberingAfterBreak="0">
    <w:nsid w:val="43724132"/>
    <w:multiLevelType w:val="multilevel"/>
    <w:tmpl w:val="43724132"/>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6"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7"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8"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39"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0"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1" w15:restartNumberingAfterBreak="0">
    <w:nsid w:val="446B7CC6"/>
    <w:multiLevelType w:val="hybridMultilevel"/>
    <w:tmpl w:val="47D6654E"/>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42"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3" w15:restartNumberingAfterBreak="0">
    <w:nsid w:val="44CF77D9"/>
    <w:multiLevelType w:val="multilevel"/>
    <w:tmpl w:val="2682C8B0"/>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544"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5" w15:restartNumberingAfterBreak="0">
    <w:nsid w:val="450F16D5"/>
    <w:multiLevelType w:val="hybridMultilevel"/>
    <w:tmpl w:val="35A440C4"/>
    <w:lvl w:ilvl="0" w:tplc="8EB66C74">
      <w:start w:val="1"/>
      <w:numFmt w:val="bullet"/>
      <w:lvlText w:val="•"/>
      <w:lvlJc w:val="left"/>
      <w:pPr>
        <w:ind w:left="960" w:hanging="480"/>
      </w:pPr>
      <w:rPr>
        <w:rFonts w:ascii="Arial" w:hAnsi="Arial" w:hint="default"/>
      </w:rPr>
    </w:lvl>
    <w:lvl w:ilvl="1" w:tplc="FFFFFFFF" w:tentative="1">
      <w:start w:val="1"/>
      <w:numFmt w:val="bullet"/>
      <w:lvlText w:val=""/>
      <w:lvlJc w:val="left"/>
      <w:pPr>
        <w:ind w:left="1440" w:hanging="480"/>
      </w:pPr>
      <w:rPr>
        <w:rFonts w:ascii="Wingdings" w:hAnsi="Wingdings" w:hint="default"/>
      </w:rPr>
    </w:lvl>
    <w:lvl w:ilvl="2" w:tplc="FFFFFFFF" w:tentative="1">
      <w:start w:val="1"/>
      <w:numFmt w:val="bullet"/>
      <w:lvlText w:val=""/>
      <w:lvlJc w:val="left"/>
      <w:pPr>
        <w:ind w:left="1920" w:hanging="480"/>
      </w:pPr>
      <w:rPr>
        <w:rFonts w:ascii="Wingdings" w:hAnsi="Wingdings" w:hint="default"/>
      </w:rPr>
    </w:lvl>
    <w:lvl w:ilvl="3" w:tplc="FFFFFFFF" w:tentative="1">
      <w:start w:val="1"/>
      <w:numFmt w:val="bullet"/>
      <w:lvlText w:val=""/>
      <w:lvlJc w:val="left"/>
      <w:pPr>
        <w:ind w:left="2400" w:hanging="480"/>
      </w:pPr>
      <w:rPr>
        <w:rFonts w:ascii="Wingdings" w:hAnsi="Wingdings" w:hint="default"/>
      </w:rPr>
    </w:lvl>
    <w:lvl w:ilvl="4" w:tplc="FFFFFFFF" w:tentative="1">
      <w:start w:val="1"/>
      <w:numFmt w:val="bullet"/>
      <w:lvlText w:val=""/>
      <w:lvlJc w:val="left"/>
      <w:pPr>
        <w:ind w:left="2880" w:hanging="480"/>
      </w:pPr>
      <w:rPr>
        <w:rFonts w:ascii="Wingdings" w:hAnsi="Wingdings" w:hint="default"/>
      </w:rPr>
    </w:lvl>
    <w:lvl w:ilvl="5" w:tplc="FFFFFFFF" w:tentative="1">
      <w:start w:val="1"/>
      <w:numFmt w:val="bullet"/>
      <w:lvlText w:val=""/>
      <w:lvlJc w:val="left"/>
      <w:pPr>
        <w:ind w:left="3360" w:hanging="480"/>
      </w:pPr>
      <w:rPr>
        <w:rFonts w:ascii="Wingdings" w:hAnsi="Wingdings" w:hint="default"/>
      </w:rPr>
    </w:lvl>
    <w:lvl w:ilvl="6" w:tplc="FFFFFFFF" w:tentative="1">
      <w:start w:val="1"/>
      <w:numFmt w:val="bullet"/>
      <w:lvlText w:val=""/>
      <w:lvlJc w:val="left"/>
      <w:pPr>
        <w:ind w:left="3840" w:hanging="480"/>
      </w:pPr>
      <w:rPr>
        <w:rFonts w:ascii="Wingdings" w:hAnsi="Wingdings" w:hint="default"/>
      </w:rPr>
    </w:lvl>
    <w:lvl w:ilvl="7" w:tplc="FFFFFFFF" w:tentative="1">
      <w:start w:val="1"/>
      <w:numFmt w:val="bullet"/>
      <w:lvlText w:val=""/>
      <w:lvlJc w:val="left"/>
      <w:pPr>
        <w:ind w:left="4320" w:hanging="480"/>
      </w:pPr>
      <w:rPr>
        <w:rFonts w:ascii="Wingdings" w:hAnsi="Wingdings" w:hint="default"/>
      </w:rPr>
    </w:lvl>
    <w:lvl w:ilvl="8" w:tplc="FFFFFFFF" w:tentative="1">
      <w:start w:val="1"/>
      <w:numFmt w:val="bullet"/>
      <w:lvlText w:val=""/>
      <w:lvlJc w:val="left"/>
      <w:pPr>
        <w:ind w:left="4800" w:hanging="480"/>
      </w:pPr>
      <w:rPr>
        <w:rFonts w:ascii="Wingdings" w:hAnsi="Wingdings" w:hint="default"/>
      </w:rPr>
    </w:lvl>
  </w:abstractNum>
  <w:abstractNum w:abstractNumId="546" w15:restartNumberingAfterBreak="0">
    <w:nsid w:val="45150B56"/>
    <w:multiLevelType w:val="multilevel"/>
    <w:tmpl w:val="45150B56"/>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7" w15:restartNumberingAfterBreak="0">
    <w:nsid w:val="45186B5E"/>
    <w:multiLevelType w:val="hybridMultilevel"/>
    <w:tmpl w:val="BDF2760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8"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49" w15:restartNumberingAfterBreak="0">
    <w:nsid w:val="453130F0"/>
    <w:multiLevelType w:val="hybridMultilevel"/>
    <w:tmpl w:val="57C0D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0"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51" w15:restartNumberingAfterBreak="0">
    <w:nsid w:val="457F501D"/>
    <w:multiLevelType w:val="hybridMultilevel"/>
    <w:tmpl w:val="4816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2"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3"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4"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555"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6"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7"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558"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9"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0"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1"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62"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3" w15:restartNumberingAfterBreak="0">
    <w:nsid w:val="4695038C"/>
    <w:multiLevelType w:val="multilevel"/>
    <w:tmpl w:val="469503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4"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5"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66"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7"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69" w15:restartNumberingAfterBreak="0">
    <w:nsid w:val="47641D36"/>
    <w:multiLevelType w:val="hybridMultilevel"/>
    <w:tmpl w:val="A4FAAA10"/>
    <w:lvl w:ilvl="0" w:tplc="D944937C">
      <w:start w:val="1"/>
      <w:numFmt w:val="bullet"/>
      <w:lvlText w:val="•"/>
      <w:lvlJc w:val="left"/>
      <w:pPr>
        <w:tabs>
          <w:tab w:val="num" w:pos="720"/>
        </w:tabs>
        <w:ind w:left="720" w:hanging="360"/>
      </w:pPr>
      <w:rPr>
        <w:rFonts w:ascii="Arial" w:hAnsi="Arial" w:hint="default"/>
      </w:rPr>
    </w:lvl>
    <w:lvl w:ilvl="1" w:tplc="93FCB27C">
      <w:numFmt w:val="bullet"/>
      <w:lvlText w:val="•"/>
      <w:lvlJc w:val="left"/>
      <w:pPr>
        <w:tabs>
          <w:tab w:val="num" w:pos="1440"/>
        </w:tabs>
        <w:ind w:left="1440" w:hanging="360"/>
      </w:pPr>
      <w:rPr>
        <w:rFonts w:ascii="Arial" w:hAnsi="Arial" w:hint="default"/>
      </w:rPr>
    </w:lvl>
    <w:lvl w:ilvl="2" w:tplc="CC06AA04">
      <w:start w:val="1"/>
      <w:numFmt w:val="bullet"/>
      <w:lvlText w:val="•"/>
      <w:lvlJc w:val="left"/>
      <w:pPr>
        <w:tabs>
          <w:tab w:val="num" w:pos="2160"/>
        </w:tabs>
        <w:ind w:left="2160" w:hanging="360"/>
      </w:pPr>
      <w:rPr>
        <w:rFonts w:ascii="Arial" w:hAnsi="Arial" w:hint="default"/>
      </w:rPr>
    </w:lvl>
    <w:lvl w:ilvl="3" w:tplc="CA0A9868">
      <w:start w:val="1"/>
      <w:numFmt w:val="bullet"/>
      <w:lvlText w:val="•"/>
      <w:lvlJc w:val="left"/>
      <w:pPr>
        <w:tabs>
          <w:tab w:val="num" w:pos="2880"/>
        </w:tabs>
        <w:ind w:left="2880" w:hanging="360"/>
      </w:pPr>
      <w:rPr>
        <w:rFonts w:ascii="Arial" w:hAnsi="Arial" w:hint="default"/>
      </w:rPr>
    </w:lvl>
    <w:lvl w:ilvl="4" w:tplc="657A4E12" w:tentative="1">
      <w:start w:val="1"/>
      <w:numFmt w:val="bullet"/>
      <w:lvlText w:val="•"/>
      <w:lvlJc w:val="left"/>
      <w:pPr>
        <w:tabs>
          <w:tab w:val="num" w:pos="3600"/>
        </w:tabs>
        <w:ind w:left="3600" w:hanging="360"/>
      </w:pPr>
      <w:rPr>
        <w:rFonts w:ascii="Arial" w:hAnsi="Arial" w:hint="default"/>
      </w:rPr>
    </w:lvl>
    <w:lvl w:ilvl="5" w:tplc="8E6ADDAE" w:tentative="1">
      <w:start w:val="1"/>
      <w:numFmt w:val="bullet"/>
      <w:lvlText w:val="•"/>
      <w:lvlJc w:val="left"/>
      <w:pPr>
        <w:tabs>
          <w:tab w:val="num" w:pos="4320"/>
        </w:tabs>
        <w:ind w:left="4320" w:hanging="360"/>
      </w:pPr>
      <w:rPr>
        <w:rFonts w:ascii="Arial" w:hAnsi="Arial" w:hint="default"/>
      </w:rPr>
    </w:lvl>
    <w:lvl w:ilvl="6" w:tplc="FEEA0D74" w:tentative="1">
      <w:start w:val="1"/>
      <w:numFmt w:val="bullet"/>
      <w:lvlText w:val="•"/>
      <w:lvlJc w:val="left"/>
      <w:pPr>
        <w:tabs>
          <w:tab w:val="num" w:pos="5040"/>
        </w:tabs>
        <w:ind w:left="5040" w:hanging="360"/>
      </w:pPr>
      <w:rPr>
        <w:rFonts w:ascii="Arial" w:hAnsi="Arial" w:hint="default"/>
      </w:rPr>
    </w:lvl>
    <w:lvl w:ilvl="7" w:tplc="7116B51E" w:tentative="1">
      <w:start w:val="1"/>
      <w:numFmt w:val="bullet"/>
      <w:lvlText w:val="•"/>
      <w:lvlJc w:val="left"/>
      <w:pPr>
        <w:tabs>
          <w:tab w:val="num" w:pos="5760"/>
        </w:tabs>
        <w:ind w:left="5760" w:hanging="360"/>
      </w:pPr>
      <w:rPr>
        <w:rFonts w:ascii="Arial" w:hAnsi="Arial" w:hint="default"/>
      </w:rPr>
    </w:lvl>
    <w:lvl w:ilvl="8" w:tplc="DD9AF204" w:tentative="1">
      <w:start w:val="1"/>
      <w:numFmt w:val="bullet"/>
      <w:lvlText w:val="•"/>
      <w:lvlJc w:val="left"/>
      <w:pPr>
        <w:tabs>
          <w:tab w:val="num" w:pos="6480"/>
        </w:tabs>
        <w:ind w:left="6480" w:hanging="360"/>
      </w:pPr>
      <w:rPr>
        <w:rFonts w:ascii="Arial" w:hAnsi="Arial" w:hint="default"/>
      </w:rPr>
    </w:lvl>
  </w:abstractNum>
  <w:abstractNum w:abstractNumId="570"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1"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2"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3"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574"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75"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6"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7"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78"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9"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0"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1" w15:restartNumberingAfterBreak="0">
    <w:nsid w:val="498B1848"/>
    <w:multiLevelType w:val="hybridMultilevel"/>
    <w:tmpl w:val="7A162C58"/>
    <w:lvl w:ilvl="0" w:tplc="04090003">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2"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83"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4"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85"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6"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587"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8"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9"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0"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92"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3"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94" w15:restartNumberingAfterBreak="0">
    <w:nsid w:val="4B7C1E8E"/>
    <w:multiLevelType w:val="hybridMultilevel"/>
    <w:tmpl w:val="CF28C5E2"/>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95" w15:restartNumberingAfterBreak="0">
    <w:nsid w:val="4B9269AD"/>
    <w:multiLevelType w:val="multilevel"/>
    <w:tmpl w:val="4B9269A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6"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7"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98"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9"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0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01" w15:restartNumberingAfterBreak="0">
    <w:nsid w:val="4BF074BB"/>
    <w:multiLevelType w:val="multilevel"/>
    <w:tmpl w:val="4BF074BB"/>
    <w:lvl w:ilvl="0">
      <w:numFmt w:val="bullet"/>
      <w:lvlText w:val="-"/>
      <w:lvlJc w:val="left"/>
      <w:pPr>
        <w:ind w:left="720" w:hanging="360"/>
      </w:pPr>
      <w:rPr>
        <w:rFonts w:ascii="Times New Roman" w:eastAsia="Malgun Gothic" w:hAnsi="Times New Roman" w:cs="Times New Roman" w:hint="default"/>
        <w:b w:val="0"/>
      </w:rPr>
    </w:lvl>
    <w:lvl w:ilvl="1">
      <w:start w:val="1"/>
      <w:numFmt w:val="bullet"/>
      <w:lvlText w:val="•"/>
      <w:lvlJc w:val="left"/>
      <w:pPr>
        <w:ind w:left="1520" w:hanging="44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2" w15:restartNumberingAfterBreak="0">
    <w:nsid w:val="4C1D338B"/>
    <w:multiLevelType w:val="hybridMultilevel"/>
    <w:tmpl w:val="3A6A8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3"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4"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05"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06"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7" w15:restartNumberingAfterBreak="0">
    <w:nsid w:val="4D044BBA"/>
    <w:multiLevelType w:val="hybridMultilevel"/>
    <w:tmpl w:val="972032CA"/>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8"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9"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0"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1"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12"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3"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4"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5"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6"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7" w15:restartNumberingAfterBreak="0">
    <w:nsid w:val="4DAF731A"/>
    <w:multiLevelType w:val="multilevel"/>
    <w:tmpl w:val="4DAF73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8" w15:restartNumberingAfterBreak="0">
    <w:nsid w:val="4DE937EE"/>
    <w:multiLevelType w:val="multilevel"/>
    <w:tmpl w:val="4DE937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9"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0"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621"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622"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23"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4"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5"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6" w15:restartNumberingAfterBreak="0">
    <w:nsid w:val="4F401D17"/>
    <w:multiLevelType w:val="multilevel"/>
    <w:tmpl w:val="4F401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7"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8"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29"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0" w15:restartNumberingAfterBreak="0">
    <w:nsid w:val="50230D22"/>
    <w:multiLevelType w:val="multilevel"/>
    <w:tmpl w:val="077EC1A2"/>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631"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32"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3" w15:restartNumberingAfterBreak="0">
    <w:nsid w:val="50546005"/>
    <w:multiLevelType w:val="hybridMultilevel"/>
    <w:tmpl w:val="CB12F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4" w15:restartNumberingAfterBreak="0">
    <w:nsid w:val="505B76D7"/>
    <w:multiLevelType w:val="hybridMultilevel"/>
    <w:tmpl w:val="B18E0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5" w15:restartNumberingAfterBreak="0">
    <w:nsid w:val="507149BC"/>
    <w:multiLevelType w:val="multilevel"/>
    <w:tmpl w:val="0D0AAEB0"/>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636"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7"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38"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3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40" w15:restartNumberingAfterBreak="0">
    <w:nsid w:val="50F339B2"/>
    <w:multiLevelType w:val="hybridMultilevel"/>
    <w:tmpl w:val="1E6C72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1"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2"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643"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4"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5"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6"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47"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8"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9"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0" w15:restartNumberingAfterBreak="0">
    <w:nsid w:val="52B9401A"/>
    <w:multiLevelType w:val="hybridMultilevel"/>
    <w:tmpl w:val="8E18A342"/>
    <w:lvl w:ilvl="0" w:tplc="F7F041E0">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652"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3" w15:restartNumberingAfterBreak="0">
    <w:nsid w:val="52FB2094"/>
    <w:multiLevelType w:val="hybridMultilevel"/>
    <w:tmpl w:val="04B6FA02"/>
    <w:lvl w:ilvl="0" w:tplc="47168E0C">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54"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5"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6"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7"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8" w15:restartNumberingAfterBreak="0">
    <w:nsid w:val="53C90624"/>
    <w:multiLevelType w:val="multilevel"/>
    <w:tmpl w:val="53C90624"/>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59"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0" w15:restartNumberingAfterBreak="0">
    <w:nsid w:val="53F51754"/>
    <w:multiLevelType w:val="multilevel"/>
    <w:tmpl w:val="53F51754"/>
    <w:lvl w:ilvl="0">
      <w:numFmt w:val="bullet"/>
      <w:lvlText w:val="-"/>
      <w:lvlJc w:val="left"/>
      <w:pPr>
        <w:ind w:left="720" w:hanging="360"/>
      </w:pPr>
      <w:rPr>
        <w:rFonts w:ascii="Yu Mincho" w:eastAsia="Yu Mincho" w:hAnsi="Yu Mincho"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1"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2" w15:restartNumberingAfterBreak="0">
    <w:nsid w:val="5415039A"/>
    <w:multiLevelType w:val="hybridMultilevel"/>
    <w:tmpl w:val="9664E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3"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4" w15:restartNumberingAfterBreak="0">
    <w:nsid w:val="54354848"/>
    <w:multiLevelType w:val="multilevel"/>
    <w:tmpl w:val="543548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5"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6"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7"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8" w15:restartNumberingAfterBreak="0">
    <w:nsid w:val="54691A12"/>
    <w:multiLevelType w:val="multilevel"/>
    <w:tmpl w:val="54691A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9"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0"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1"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72"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3"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4"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675"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6"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7" w15:restartNumberingAfterBreak="0">
    <w:nsid w:val="56041F9C"/>
    <w:multiLevelType w:val="multilevel"/>
    <w:tmpl w:val="56041F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78"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679"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0" w15:restartNumberingAfterBreak="0">
    <w:nsid w:val="568D24FC"/>
    <w:multiLevelType w:val="multilevel"/>
    <w:tmpl w:val="568D24FC"/>
    <w:lvl w:ilvl="0">
      <w:start w:val="6"/>
      <w:numFmt w:val="bullet"/>
      <w:lvlText w:val="-"/>
      <w:lvlJc w:val="left"/>
      <w:pPr>
        <w:ind w:left="720" w:hanging="360"/>
      </w:pPr>
      <w:rPr>
        <w:rFonts w:ascii="Times New Roman" w:eastAsia="SimSun" w:hAnsi="Times New Roman" w:cs="Times New Roman" w:hint="default"/>
      </w:rPr>
    </w:lvl>
    <w:lvl w:ilvl="1">
      <w:start w:val="6"/>
      <w:numFmt w:val="bullet"/>
      <w:lvlText w:val="-"/>
      <w:lvlJc w:val="left"/>
      <w:pPr>
        <w:ind w:left="1440" w:hanging="360"/>
      </w:pPr>
      <w:rPr>
        <w:rFonts w:ascii="Times New Roman" w:eastAsia="SimSu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1" w15:restartNumberingAfterBreak="0">
    <w:nsid w:val="56AA7668"/>
    <w:multiLevelType w:val="multilevel"/>
    <w:tmpl w:val="56AA7668"/>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2"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83"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684"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685"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6"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7"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8"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89" w15:restartNumberingAfterBreak="0">
    <w:nsid w:val="57F11203"/>
    <w:multiLevelType w:val="hybridMultilevel"/>
    <w:tmpl w:val="09485E2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0"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1"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92"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93"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4"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5" w15:restartNumberingAfterBreak="0">
    <w:nsid w:val="58B42BB2"/>
    <w:multiLevelType w:val="hybridMultilevel"/>
    <w:tmpl w:val="5882F620"/>
    <w:lvl w:ilvl="0" w:tplc="14BE36B6">
      <w:start w:val="73"/>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6"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97"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8"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9"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0"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701"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02" w15:restartNumberingAfterBreak="0">
    <w:nsid w:val="5A2041E5"/>
    <w:multiLevelType w:val="hybridMultilevel"/>
    <w:tmpl w:val="0F8E2F4A"/>
    <w:lvl w:ilvl="0" w:tplc="0A5235B8">
      <w:numFmt w:val="bullet"/>
      <w:lvlText w:val="-"/>
      <w:lvlJc w:val="left"/>
      <w:pPr>
        <w:ind w:left="720" w:hanging="360"/>
      </w:pPr>
      <w:rPr>
        <w:rFonts w:ascii="Yu Mincho" w:eastAsia="Yu Mincho" w:hAnsi="Yu Mincho" w:cs="Times New Roman" w:hint="eastAsi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03"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4"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5" w15:restartNumberingAfterBreak="0">
    <w:nsid w:val="5A7C1FB1"/>
    <w:multiLevelType w:val="hybridMultilevel"/>
    <w:tmpl w:val="1BB65E8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06"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7"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8" w15:restartNumberingAfterBreak="0">
    <w:nsid w:val="5AA82E09"/>
    <w:multiLevelType w:val="hybridMultilevel"/>
    <w:tmpl w:val="B5EA7656"/>
    <w:lvl w:ilvl="0" w:tplc="04090001">
      <w:start w:val="1"/>
      <w:numFmt w:val="bullet"/>
      <w:lvlText w:val=""/>
      <w:lvlJc w:val="left"/>
      <w:pPr>
        <w:ind w:left="760" w:hanging="400"/>
      </w:pPr>
      <w:rPr>
        <w:rFonts w:ascii="Symbol" w:hAnsi="Symbol"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709"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10"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1" w15:restartNumberingAfterBreak="0">
    <w:nsid w:val="5B01727E"/>
    <w:multiLevelType w:val="multilevel"/>
    <w:tmpl w:val="5B0172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2" w15:restartNumberingAfterBreak="0">
    <w:nsid w:val="5B0C2860"/>
    <w:multiLevelType w:val="hybridMultilevel"/>
    <w:tmpl w:val="5FD28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3"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14" w15:restartNumberingAfterBreak="0">
    <w:nsid w:val="5B203028"/>
    <w:multiLevelType w:val="multilevel"/>
    <w:tmpl w:val="5B2030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5"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16"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717" w15:restartNumberingAfterBreak="0">
    <w:nsid w:val="5B575F92"/>
    <w:multiLevelType w:val="multilevel"/>
    <w:tmpl w:val="5B575F92"/>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18" w15:restartNumberingAfterBreak="0">
    <w:nsid w:val="5BA63F9A"/>
    <w:multiLevelType w:val="multilevel"/>
    <w:tmpl w:val="5BA63F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9" w15:restartNumberingAfterBreak="0">
    <w:nsid w:val="5BB3265C"/>
    <w:multiLevelType w:val="multilevel"/>
    <w:tmpl w:val="5BB3265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20"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21"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722" w15:restartNumberingAfterBreak="0">
    <w:nsid w:val="5BE40CE5"/>
    <w:multiLevelType w:val="hybridMultilevel"/>
    <w:tmpl w:val="A7BEBC0E"/>
    <w:lvl w:ilvl="0" w:tplc="FFFFFFFF">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23" w15:restartNumberingAfterBreak="0">
    <w:nsid w:val="5C07357E"/>
    <w:multiLevelType w:val="multilevel"/>
    <w:tmpl w:val="5C07357E"/>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724"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25"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6"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27"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8"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9"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0" w15:restartNumberingAfterBreak="0">
    <w:nsid w:val="5CAD15DA"/>
    <w:multiLevelType w:val="multilevel"/>
    <w:tmpl w:val="1D746F46"/>
    <w:lvl w:ilvl="0">
      <w:start w:val="1"/>
      <w:numFmt w:val="bullet"/>
      <w:lvlText w:val="•"/>
      <w:lvlJc w:val="left"/>
      <w:pPr>
        <w:tabs>
          <w:tab w:val="num" w:pos="-400"/>
        </w:tabs>
        <w:ind w:left="400" w:hanging="400"/>
      </w:pPr>
      <w:rPr>
        <w:rFonts w:ascii="Arial" w:hAnsi="Arial" w:cs="Arial" w:hint="default"/>
      </w:rPr>
    </w:lvl>
    <w:lvl w:ilvl="1">
      <w:start w:val="1"/>
      <w:numFmt w:val="bullet"/>
      <w:lvlText w:val=""/>
      <w:lvlJc w:val="left"/>
      <w:pPr>
        <w:tabs>
          <w:tab w:val="num" w:pos="-400"/>
        </w:tabs>
        <w:ind w:left="800" w:hanging="400"/>
      </w:pPr>
      <w:rPr>
        <w:rFonts w:ascii="Wingdings" w:hAnsi="Wingdings" w:cs="Wingdings" w:hint="default"/>
      </w:rPr>
    </w:lvl>
    <w:lvl w:ilvl="2">
      <w:start w:val="1"/>
      <w:numFmt w:val="bullet"/>
      <w:lvlText w:val=""/>
      <w:lvlJc w:val="left"/>
      <w:pPr>
        <w:tabs>
          <w:tab w:val="num" w:pos="-400"/>
        </w:tabs>
        <w:ind w:left="1200" w:hanging="400"/>
      </w:pPr>
      <w:rPr>
        <w:rFonts w:ascii="Wingdings" w:hAnsi="Wingdings" w:cs="Wingdings" w:hint="default"/>
      </w:rPr>
    </w:lvl>
    <w:lvl w:ilvl="3">
      <w:start w:val="1"/>
      <w:numFmt w:val="bullet"/>
      <w:lvlText w:val=""/>
      <w:lvlJc w:val="left"/>
      <w:pPr>
        <w:tabs>
          <w:tab w:val="num" w:pos="-400"/>
        </w:tabs>
        <w:ind w:left="1600" w:hanging="400"/>
      </w:pPr>
      <w:rPr>
        <w:rFonts w:ascii="Wingdings" w:hAnsi="Wingdings" w:cs="Wingdings" w:hint="default"/>
      </w:rPr>
    </w:lvl>
    <w:lvl w:ilvl="4">
      <w:start w:val="1"/>
      <w:numFmt w:val="bullet"/>
      <w:lvlText w:val=""/>
      <w:lvlJc w:val="left"/>
      <w:pPr>
        <w:tabs>
          <w:tab w:val="num" w:pos="-400"/>
        </w:tabs>
        <w:ind w:left="2000" w:hanging="400"/>
      </w:pPr>
      <w:rPr>
        <w:rFonts w:ascii="Wingdings" w:hAnsi="Wingdings" w:cs="Wingdings" w:hint="default"/>
      </w:rPr>
    </w:lvl>
    <w:lvl w:ilvl="5">
      <w:start w:val="1"/>
      <w:numFmt w:val="bullet"/>
      <w:lvlText w:val=""/>
      <w:lvlJc w:val="left"/>
      <w:pPr>
        <w:tabs>
          <w:tab w:val="num" w:pos="-400"/>
        </w:tabs>
        <w:ind w:left="2400" w:hanging="400"/>
      </w:pPr>
      <w:rPr>
        <w:rFonts w:ascii="Wingdings" w:hAnsi="Wingdings" w:cs="Wingdings" w:hint="default"/>
      </w:rPr>
    </w:lvl>
    <w:lvl w:ilvl="6">
      <w:start w:val="1"/>
      <w:numFmt w:val="bullet"/>
      <w:lvlText w:val=""/>
      <w:lvlJc w:val="left"/>
      <w:pPr>
        <w:tabs>
          <w:tab w:val="num" w:pos="-400"/>
        </w:tabs>
        <w:ind w:left="2800" w:hanging="400"/>
      </w:pPr>
      <w:rPr>
        <w:rFonts w:ascii="Wingdings" w:hAnsi="Wingdings" w:cs="Wingdings" w:hint="default"/>
      </w:rPr>
    </w:lvl>
    <w:lvl w:ilvl="7">
      <w:start w:val="1"/>
      <w:numFmt w:val="bullet"/>
      <w:lvlText w:val=""/>
      <w:lvlJc w:val="left"/>
      <w:pPr>
        <w:tabs>
          <w:tab w:val="num" w:pos="-400"/>
        </w:tabs>
        <w:ind w:left="3200" w:hanging="400"/>
      </w:pPr>
      <w:rPr>
        <w:rFonts w:ascii="Wingdings" w:hAnsi="Wingdings" w:cs="Wingdings" w:hint="default"/>
      </w:rPr>
    </w:lvl>
    <w:lvl w:ilvl="8">
      <w:start w:val="1"/>
      <w:numFmt w:val="bullet"/>
      <w:lvlText w:val=""/>
      <w:lvlJc w:val="left"/>
      <w:pPr>
        <w:tabs>
          <w:tab w:val="num" w:pos="-400"/>
        </w:tabs>
        <w:ind w:left="3600" w:hanging="400"/>
      </w:pPr>
      <w:rPr>
        <w:rFonts w:ascii="Wingdings" w:hAnsi="Wingdings" w:cs="Wingdings" w:hint="default"/>
      </w:rPr>
    </w:lvl>
  </w:abstractNum>
  <w:abstractNum w:abstractNumId="731"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732"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3"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34"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35"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36"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37" w15:restartNumberingAfterBreak="0">
    <w:nsid w:val="5D7C347D"/>
    <w:multiLevelType w:val="multilevel"/>
    <w:tmpl w:val="5D7C34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8" w15:restartNumberingAfterBreak="0">
    <w:nsid w:val="5D7E6A7D"/>
    <w:multiLevelType w:val="hybridMultilevel"/>
    <w:tmpl w:val="209E8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9" w15:restartNumberingAfterBreak="0">
    <w:nsid w:val="5DB00560"/>
    <w:multiLevelType w:val="multilevel"/>
    <w:tmpl w:val="5DB005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0"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41" w15:restartNumberingAfterBreak="0">
    <w:nsid w:val="5E035307"/>
    <w:multiLevelType w:val="multilevel"/>
    <w:tmpl w:val="5E035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2"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743"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4"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5"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6"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7" w15:restartNumberingAfterBreak="0">
    <w:nsid w:val="5EB17933"/>
    <w:multiLevelType w:val="multilevel"/>
    <w:tmpl w:val="5EB179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8" w15:restartNumberingAfterBreak="0">
    <w:nsid w:val="5EB75AC7"/>
    <w:multiLevelType w:val="hybridMultilevel"/>
    <w:tmpl w:val="8EA6DB38"/>
    <w:lvl w:ilvl="0" w:tplc="FB989FFC">
      <w:start w:val="1"/>
      <w:numFmt w:val="bullet"/>
      <w:lvlText w:val="•"/>
      <w:lvlJc w:val="left"/>
      <w:pPr>
        <w:ind w:left="846" w:hanging="420"/>
      </w:pPr>
      <w:rPr>
        <w:rFonts w:ascii="Calibri" w:hAnsi="Calibri"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49" w15:restartNumberingAfterBreak="0">
    <w:nsid w:val="5EF36850"/>
    <w:multiLevelType w:val="hybridMultilevel"/>
    <w:tmpl w:val="25582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0"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51"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2" w15:restartNumberingAfterBreak="0">
    <w:nsid w:val="5F3B1B5E"/>
    <w:multiLevelType w:val="hybridMultilevel"/>
    <w:tmpl w:val="214E0D40"/>
    <w:lvl w:ilvl="0" w:tplc="2CD2C8E2">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3" w15:restartNumberingAfterBreak="0">
    <w:nsid w:val="5F503D6F"/>
    <w:multiLevelType w:val="hybridMultilevel"/>
    <w:tmpl w:val="F70C3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4" w15:restartNumberingAfterBreak="0">
    <w:nsid w:val="5F756333"/>
    <w:multiLevelType w:val="multilevel"/>
    <w:tmpl w:val="5F756333"/>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5" w15:restartNumberingAfterBreak="0">
    <w:nsid w:val="5F76EE3B"/>
    <w:multiLevelType w:val="singleLevel"/>
    <w:tmpl w:val="5F76EE3B"/>
    <w:lvl w:ilvl="0">
      <w:start w:val="1"/>
      <w:numFmt w:val="decimal"/>
      <w:suff w:val="space"/>
      <w:lvlText w:val="%1."/>
      <w:lvlJc w:val="left"/>
    </w:lvl>
  </w:abstractNum>
  <w:abstractNum w:abstractNumId="756"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7"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8" w15:restartNumberingAfterBreak="0">
    <w:nsid w:val="5FA50FED"/>
    <w:multiLevelType w:val="hybridMultilevel"/>
    <w:tmpl w:val="57BEAE20"/>
    <w:lvl w:ilvl="0" w:tplc="F7F041E0">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9"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0" w15:restartNumberingAfterBreak="0">
    <w:nsid w:val="5FC13EAE"/>
    <w:multiLevelType w:val="hybridMultilevel"/>
    <w:tmpl w:val="D098E2E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61"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2"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3"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4"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5"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6"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7"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8"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9"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0"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1"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72"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73"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4" w15:restartNumberingAfterBreak="0">
    <w:nsid w:val="614F5CE1"/>
    <w:multiLevelType w:val="multilevel"/>
    <w:tmpl w:val="614F5CE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775"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776"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77" w15:restartNumberingAfterBreak="0">
    <w:nsid w:val="619601EE"/>
    <w:multiLevelType w:val="hybridMultilevel"/>
    <w:tmpl w:val="BDEEE27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78"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9"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0" w15:restartNumberingAfterBreak="0">
    <w:nsid w:val="61BD6C86"/>
    <w:multiLevelType w:val="hybridMultilevel"/>
    <w:tmpl w:val="1B1EC8CA"/>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81" w15:restartNumberingAfterBreak="0">
    <w:nsid w:val="622022F5"/>
    <w:multiLevelType w:val="hybridMultilevel"/>
    <w:tmpl w:val="8382B5C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782"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3"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784" w15:restartNumberingAfterBreak="0">
    <w:nsid w:val="6253689D"/>
    <w:multiLevelType w:val="hybridMultilevel"/>
    <w:tmpl w:val="5E380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5"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86"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7" w15:restartNumberingAfterBreak="0">
    <w:nsid w:val="62AF1A91"/>
    <w:multiLevelType w:val="multilevel"/>
    <w:tmpl w:val="62AF1A91"/>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788"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89"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0"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1" w15:restartNumberingAfterBreak="0">
    <w:nsid w:val="631910D5"/>
    <w:multiLevelType w:val="multilevel"/>
    <w:tmpl w:val="D3FC21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92"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3"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4"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5"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6"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7" w15:restartNumberingAfterBreak="0">
    <w:nsid w:val="64695769"/>
    <w:multiLevelType w:val="hybridMultilevel"/>
    <w:tmpl w:val="16669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8"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800"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01"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2" w15:restartNumberingAfterBreak="0">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803"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4"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5" w15:restartNumberingAfterBreak="0">
    <w:nsid w:val="6560517E"/>
    <w:multiLevelType w:val="hybridMultilevel"/>
    <w:tmpl w:val="49860998"/>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06" w15:restartNumberingAfterBreak="0">
    <w:nsid w:val="65AB0AEC"/>
    <w:multiLevelType w:val="multilevel"/>
    <w:tmpl w:val="65AB0AEC"/>
    <w:styleLink w:val="StyleBullete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7"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8"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809"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0" w15:restartNumberingAfterBreak="0">
    <w:nsid w:val="65CC13F1"/>
    <w:multiLevelType w:val="multilevel"/>
    <w:tmpl w:val="65CC13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1"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12"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13" w15:restartNumberingAfterBreak="0">
    <w:nsid w:val="663B3AB0"/>
    <w:multiLevelType w:val="multilevel"/>
    <w:tmpl w:val="663B3AB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14"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5"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16"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7"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8"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9"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820"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1"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2"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3" w15:restartNumberingAfterBreak="0">
    <w:nsid w:val="678E09E3"/>
    <w:multiLevelType w:val="multilevel"/>
    <w:tmpl w:val="678E09E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24" w15:restartNumberingAfterBreak="0">
    <w:nsid w:val="6795066E"/>
    <w:multiLevelType w:val="multilevel"/>
    <w:tmpl w:val="A69AE64A"/>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25"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6"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827"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28"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29"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30"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1"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2"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3"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834" w15:restartNumberingAfterBreak="0">
    <w:nsid w:val="68BB0F9F"/>
    <w:multiLevelType w:val="hybridMultilevel"/>
    <w:tmpl w:val="0B1ECBC4"/>
    <w:lvl w:ilvl="0" w:tplc="FAFEAB3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5"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36"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7"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38"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39"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40"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1"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842"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3" w15:restartNumberingAfterBreak="0">
    <w:nsid w:val="69A47D22"/>
    <w:multiLevelType w:val="hybridMultilevel"/>
    <w:tmpl w:val="96385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4"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45"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46" w15:restartNumberingAfterBreak="0">
    <w:nsid w:val="69BE5AC9"/>
    <w:multiLevelType w:val="hybridMultilevel"/>
    <w:tmpl w:val="410019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7" w15:restartNumberingAfterBreak="0">
    <w:nsid w:val="69F363D2"/>
    <w:multiLevelType w:val="multilevel"/>
    <w:tmpl w:val="69F363D2"/>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848"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49"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0"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1" w15:restartNumberingAfterBreak="0">
    <w:nsid w:val="6A1451AF"/>
    <w:multiLevelType w:val="hybridMultilevel"/>
    <w:tmpl w:val="2B8037BC"/>
    <w:lvl w:ilvl="0" w:tplc="04090003">
      <w:start w:val="1"/>
      <w:numFmt w:val="bullet"/>
      <w:lvlText w:val="o"/>
      <w:lvlJc w:val="left"/>
      <w:pPr>
        <w:ind w:left="800" w:hanging="400"/>
      </w:pPr>
      <w:rPr>
        <w:rFonts w:ascii="Courier New" w:hAnsi="Courier New" w:cs="Courier New" w:hint="default"/>
      </w:rPr>
    </w:lvl>
    <w:lvl w:ilvl="1" w:tplc="96F6F3D2">
      <w:start w:val="5"/>
      <w:numFmt w:val="bullet"/>
      <w:lvlText w:val=""/>
      <w:lvlJc w:val="left"/>
      <w:pPr>
        <w:ind w:left="1200" w:hanging="400"/>
      </w:pPr>
      <w:rPr>
        <w:rFonts w:ascii="Symbol" w:eastAsia="SimSun" w:hAnsi="Symbol"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52"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853" w15:restartNumberingAfterBreak="0">
    <w:nsid w:val="6A2C6600"/>
    <w:multiLevelType w:val="multilevel"/>
    <w:tmpl w:val="9C084C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4"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5"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6"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7"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58"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859"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860"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861" w15:restartNumberingAfterBreak="0">
    <w:nsid w:val="6B2C403F"/>
    <w:multiLevelType w:val="hybridMultilevel"/>
    <w:tmpl w:val="026C2E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62" w15:restartNumberingAfterBreak="0">
    <w:nsid w:val="6B51439B"/>
    <w:multiLevelType w:val="multilevel"/>
    <w:tmpl w:val="6B5143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3"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64"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865" w15:restartNumberingAfterBreak="0">
    <w:nsid w:val="6BD1752F"/>
    <w:multiLevelType w:val="hybridMultilevel"/>
    <w:tmpl w:val="482888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6"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867"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8"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9" w15:restartNumberingAfterBreak="0">
    <w:nsid w:val="6C91440F"/>
    <w:multiLevelType w:val="multilevel"/>
    <w:tmpl w:val="6C9144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0"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871"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2"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3" w15:restartNumberingAfterBreak="0">
    <w:nsid w:val="6D9A088B"/>
    <w:multiLevelType w:val="hybridMultilevel"/>
    <w:tmpl w:val="EACAC45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74" w15:restartNumberingAfterBreak="0">
    <w:nsid w:val="6DB05211"/>
    <w:multiLevelType w:val="hybridMultilevel"/>
    <w:tmpl w:val="8472B2AE"/>
    <w:lvl w:ilvl="0" w:tplc="04090003">
      <w:start w:val="1"/>
      <w:numFmt w:val="bullet"/>
      <w:lvlText w:val="o"/>
      <w:lvlJc w:val="left"/>
      <w:pPr>
        <w:ind w:left="880" w:hanging="440"/>
      </w:pPr>
      <w:rPr>
        <w:rFonts w:ascii="Courier New" w:hAnsi="Courier New" w:cs="Courier New" w:hint="default"/>
      </w:rPr>
    </w:lvl>
    <w:lvl w:ilvl="1" w:tplc="04090003">
      <w:start w:val="1"/>
      <w:numFmt w:val="bullet"/>
      <w:lvlText w:val="o"/>
      <w:lvlJc w:val="left"/>
      <w:pPr>
        <w:ind w:left="1760" w:hanging="440"/>
      </w:pPr>
      <w:rPr>
        <w:rFonts w:ascii="Courier New" w:hAnsi="Courier New" w:cs="Courier New"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875" w15:restartNumberingAfterBreak="0">
    <w:nsid w:val="6E0349B7"/>
    <w:multiLevelType w:val="multilevel"/>
    <w:tmpl w:val="6E034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6"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7"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78"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79" w15:restartNumberingAfterBreak="0">
    <w:nsid w:val="6E5C1D3A"/>
    <w:multiLevelType w:val="hybridMultilevel"/>
    <w:tmpl w:val="CDD60FBE"/>
    <w:lvl w:ilvl="0" w:tplc="2F08AACC">
      <w:start w:val="3"/>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80"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1"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2"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3"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4" w15:restartNumberingAfterBreak="0">
    <w:nsid w:val="6FBF3E11"/>
    <w:multiLevelType w:val="hybridMultilevel"/>
    <w:tmpl w:val="836E8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5"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6"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7"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8"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9"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0" w15:restartNumberingAfterBreak="0">
    <w:nsid w:val="70926754"/>
    <w:multiLevelType w:val="hybridMultilevel"/>
    <w:tmpl w:val="89F4FB0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91"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2"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93"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4"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95"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96"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897"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8"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0" w15:restartNumberingAfterBreak="0">
    <w:nsid w:val="71AE6AC6"/>
    <w:multiLevelType w:val="hybridMultilevel"/>
    <w:tmpl w:val="F6AE3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1"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02"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3"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04"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5"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6" w15:restartNumberingAfterBreak="0">
    <w:nsid w:val="72B84F76"/>
    <w:multiLevelType w:val="multilevel"/>
    <w:tmpl w:val="72B84F7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7" w15:restartNumberingAfterBreak="0">
    <w:nsid w:val="72EC12BD"/>
    <w:multiLevelType w:val="multilevel"/>
    <w:tmpl w:val="C82CBB4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08" w15:restartNumberingAfterBreak="0">
    <w:nsid w:val="73402EE5"/>
    <w:multiLevelType w:val="multilevel"/>
    <w:tmpl w:val="A6407BDC"/>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909"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0" w15:restartNumberingAfterBreak="0">
    <w:nsid w:val="734619DE"/>
    <w:multiLevelType w:val="multilevel"/>
    <w:tmpl w:val="734619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1" w15:restartNumberingAfterBreak="0">
    <w:nsid w:val="7361246E"/>
    <w:multiLevelType w:val="multilevel"/>
    <w:tmpl w:val="7361246E"/>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12"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13"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14"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6" w15:restartNumberingAfterBreak="0">
    <w:nsid w:val="746524AD"/>
    <w:multiLevelType w:val="multilevel"/>
    <w:tmpl w:val="74652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7"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8"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19"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20"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21"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23"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4" w15:restartNumberingAfterBreak="0">
    <w:nsid w:val="75993841"/>
    <w:multiLevelType w:val="hybridMultilevel"/>
    <w:tmpl w:val="91980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5"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6"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7"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8" w15:restartNumberingAfterBreak="0">
    <w:nsid w:val="75E17E53"/>
    <w:multiLevelType w:val="multilevel"/>
    <w:tmpl w:val="75E17E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9"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0" w15:restartNumberingAfterBreak="0">
    <w:nsid w:val="75F62DA0"/>
    <w:multiLevelType w:val="hybridMultilevel"/>
    <w:tmpl w:val="10D4050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31"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932"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3"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34"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35"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93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7"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38"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9" w15:restartNumberingAfterBreak="0">
    <w:nsid w:val="768F1744"/>
    <w:multiLevelType w:val="hybridMultilevel"/>
    <w:tmpl w:val="6F685E56"/>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40"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4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2"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943" w15:restartNumberingAfterBreak="0">
    <w:nsid w:val="76DB0F7F"/>
    <w:multiLevelType w:val="multilevel"/>
    <w:tmpl w:val="76DB0F7F"/>
    <w:lvl w:ilvl="0">
      <w:start w:val="1"/>
      <w:numFmt w:val="bullet"/>
      <w:lvlText w:val=""/>
      <w:lvlJc w:val="left"/>
      <w:pPr>
        <w:ind w:left="840" w:hanging="420"/>
      </w:pPr>
      <w:rPr>
        <w:rFonts w:ascii="Symbol" w:hAnsi="Symbol" w:hint="default"/>
        <w:lang w:val="en-US"/>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44"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5" w15:restartNumberingAfterBreak="0">
    <w:nsid w:val="76F4475D"/>
    <w:multiLevelType w:val="hybridMultilevel"/>
    <w:tmpl w:val="EE92EAA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46" w15:restartNumberingAfterBreak="0">
    <w:nsid w:val="76FD1D5D"/>
    <w:multiLevelType w:val="hybridMultilevel"/>
    <w:tmpl w:val="3FF05A0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47"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48"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49" w15:restartNumberingAfterBreak="0">
    <w:nsid w:val="7792713E"/>
    <w:multiLevelType w:val="multilevel"/>
    <w:tmpl w:val="7792713E"/>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0"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951"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53" w15:restartNumberingAfterBreak="0">
    <w:nsid w:val="77F244D9"/>
    <w:multiLevelType w:val="hybridMultilevel"/>
    <w:tmpl w:val="92CC227C"/>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54"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55"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56"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7" w15:restartNumberingAfterBreak="0">
    <w:nsid w:val="7822113E"/>
    <w:multiLevelType w:val="hybridMultilevel"/>
    <w:tmpl w:val="6B6EF7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8"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9"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60" w15:restartNumberingAfterBreak="0">
    <w:nsid w:val="7859420A"/>
    <w:multiLevelType w:val="multilevel"/>
    <w:tmpl w:val="8CCE371E"/>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961"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2"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63"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4"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65"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6"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7"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68"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6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970"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1" w15:restartNumberingAfterBreak="0">
    <w:nsid w:val="79657839"/>
    <w:multiLevelType w:val="hybridMultilevel"/>
    <w:tmpl w:val="DF100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2" w15:restartNumberingAfterBreak="0">
    <w:nsid w:val="79AC02CB"/>
    <w:multiLevelType w:val="multilevel"/>
    <w:tmpl w:val="B2560558"/>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73"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4" w15:restartNumberingAfterBreak="0">
    <w:nsid w:val="7A462570"/>
    <w:multiLevelType w:val="multilevel"/>
    <w:tmpl w:val="7A462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5"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76"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7"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8"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9" w15:restartNumberingAfterBreak="0">
    <w:nsid w:val="7B40178C"/>
    <w:multiLevelType w:val="hybridMultilevel"/>
    <w:tmpl w:val="1A84825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80" w15:restartNumberingAfterBreak="0">
    <w:nsid w:val="7B4F56FF"/>
    <w:multiLevelType w:val="multilevel"/>
    <w:tmpl w:val="7B4F56F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81"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982"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3"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84" w15:restartNumberingAfterBreak="0">
    <w:nsid w:val="7B9849B6"/>
    <w:multiLevelType w:val="multilevel"/>
    <w:tmpl w:val="7B9849B6"/>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98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986"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87"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88"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9"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991"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2"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3"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4"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95"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96"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997"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999" w15:restartNumberingAfterBreak="0">
    <w:nsid w:val="7D613DCF"/>
    <w:multiLevelType w:val="multilevel"/>
    <w:tmpl w:val="7D613D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0"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01"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02" w15:restartNumberingAfterBreak="0">
    <w:nsid w:val="7D8B097E"/>
    <w:multiLevelType w:val="multilevel"/>
    <w:tmpl w:val="7D8B097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03"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4"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00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006"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07"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08"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9"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10"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1011"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2"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3" w15:restartNumberingAfterBreak="0">
    <w:nsid w:val="7EA842C1"/>
    <w:multiLevelType w:val="hybridMultilevel"/>
    <w:tmpl w:val="15E6952E"/>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014" w15:restartNumberingAfterBreak="0">
    <w:nsid w:val="7EB953FB"/>
    <w:multiLevelType w:val="multilevel"/>
    <w:tmpl w:val="7EB95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5"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16"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7"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1019" w15:restartNumberingAfterBreak="0">
    <w:nsid w:val="7F76298A"/>
    <w:multiLevelType w:val="hybridMultilevel"/>
    <w:tmpl w:val="B490AD9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2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1"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2"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3"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24"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22"/>
  </w:num>
  <w:num w:numId="2" w16cid:durableId="970673154">
    <w:abstractNumId w:val="433"/>
  </w:num>
  <w:num w:numId="3" w16cid:durableId="1992562566">
    <w:abstractNumId w:val="561"/>
  </w:num>
  <w:num w:numId="4" w16cid:durableId="453331326">
    <w:abstractNumId w:val="901"/>
  </w:num>
  <w:num w:numId="5" w16cid:durableId="2049068586">
    <w:abstractNumId w:val="983"/>
  </w:num>
  <w:num w:numId="6" w16cid:durableId="1034618431">
    <w:abstractNumId w:val="877"/>
  </w:num>
  <w:num w:numId="7" w16cid:durableId="1630545893">
    <w:abstractNumId w:val="807"/>
  </w:num>
  <w:num w:numId="8" w16cid:durableId="1226334133">
    <w:abstractNumId w:val="44"/>
  </w:num>
  <w:num w:numId="9" w16cid:durableId="969670963">
    <w:abstractNumId w:val="271"/>
  </w:num>
  <w:num w:numId="10" w16cid:durableId="13073233">
    <w:abstractNumId w:val="863"/>
  </w:num>
  <w:num w:numId="11" w16cid:durableId="1049451307">
    <w:abstractNumId w:val="940"/>
  </w:num>
  <w:num w:numId="12" w16cid:durableId="1274245175">
    <w:abstractNumId w:val="198"/>
  </w:num>
  <w:num w:numId="13" w16cid:durableId="304745579">
    <w:abstractNumId w:val="369"/>
  </w:num>
  <w:num w:numId="14" w16cid:durableId="1919165698">
    <w:abstractNumId w:val="210"/>
  </w:num>
  <w:num w:numId="15" w16cid:durableId="1280600465">
    <w:abstractNumId w:val="515"/>
  </w:num>
  <w:num w:numId="16" w16cid:durableId="679699497">
    <w:abstractNumId w:val="790"/>
  </w:num>
  <w:num w:numId="17" w16cid:durableId="1350713196">
    <w:abstractNumId w:val="697"/>
  </w:num>
  <w:num w:numId="18" w16cid:durableId="1428229749">
    <w:abstractNumId w:val="315"/>
  </w:num>
  <w:num w:numId="19" w16cid:durableId="1846631695">
    <w:abstractNumId w:val="561"/>
  </w:num>
  <w:num w:numId="20" w16cid:durableId="1338384216">
    <w:abstractNumId w:val="501"/>
  </w:num>
  <w:num w:numId="21" w16cid:durableId="1314724841">
    <w:abstractNumId w:val="955"/>
  </w:num>
  <w:num w:numId="22" w16cid:durableId="580680914">
    <w:abstractNumId w:val="34"/>
  </w:num>
  <w:num w:numId="23" w16cid:durableId="1228760671">
    <w:abstractNumId w:val="71"/>
  </w:num>
  <w:num w:numId="24" w16cid:durableId="352461836">
    <w:abstractNumId w:val="611"/>
  </w:num>
  <w:num w:numId="25" w16cid:durableId="684986501">
    <w:abstractNumId w:val="565"/>
  </w:num>
  <w:num w:numId="26" w16cid:durableId="865874228">
    <w:abstractNumId w:val="987"/>
  </w:num>
  <w:num w:numId="27" w16cid:durableId="213545467">
    <w:abstractNumId w:val="811"/>
  </w:num>
  <w:num w:numId="28" w16cid:durableId="280844023">
    <w:abstractNumId w:val="308"/>
  </w:num>
  <w:num w:numId="29" w16cid:durableId="228615413">
    <w:abstractNumId w:val="339"/>
  </w:num>
  <w:num w:numId="30" w16cid:durableId="1504584805">
    <w:abstractNumId w:val="394"/>
  </w:num>
  <w:num w:numId="31" w16cid:durableId="490677133">
    <w:abstractNumId w:val="895"/>
  </w:num>
  <w:num w:numId="32" w16cid:durableId="1301692385">
    <w:abstractNumId w:val="240"/>
  </w:num>
  <w:num w:numId="33" w16cid:durableId="1541088206">
    <w:abstractNumId w:val="800"/>
  </w:num>
  <w:num w:numId="34" w16cid:durableId="825242615">
    <w:abstractNumId w:val="560"/>
  </w:num>
  <w:num w:numId="35" w16cid:durableId="82335965">
    <w:abstractNumId w:val="596"/>
  </w:num>
  <w:num w:numId="36" w16cid:durableId="1037463953">
    <w:abstractNumId w:val="417"/>
  </w:num>
  <w:num w:numId="37" w16cid:durableId="1844321281">
    <w:abstractNumId w:val="562"/>
  </w:num>
  <w:num w:numId="38" w16cid:durableId="1712336691">
    <w:abstractNumId w:val="79"/>
  </w:num>
  <w:num w:numId="39" w16cid:durableId="1089349044">
    <w:abstractNumId w:val="649"/>
  </w:num>
  <w:num w:numId="40" w16cid:durableId="432475320">
    <w:abstractNumId w:val="889"/>
  </w:num>
  <w:num w:numId="41" w16cid:durableId="1358771858">
    <w:abstractNumId w:val="279"/>
  </w:num>
  <w:num w:numId="42" w16cid:durableId="1271282741">
    <w:abstractNumId w:val="259"/>
  </w:num>
  <w:num w:numId="43" w16cid:durableId="211617635">
    <w:abstractNumId w:val="533"/>
  </w:num>
  <w:num w:numId="44" w16cid:durableId="104425776">
    <w:abstractNumId w:val="60"/>
  </w:num>
  <w:num w:numId="45" w16cid:durableId="1209758397">
    <w:abstractNumId w:val="767"/>
  </w:num>
  <w:num w:numId="46" w16cid:durableId="247740000">
    <w:abstractNumId w:val="909"/>
  </w:num>
  <w:num w:numId="47" w16cid:durableId="1092774725">
    <w:abstractNumId w:val="757"/>
  </w:num>
  <w:num w:numId="48" w16cid:durableId="335882311">
    <w:abstractNumId w:val="583"/>
  </w:num>
  <w:num w:numId="49" w16cid:durableId="1707749635">
    <w:abstractNumId w:val="770"/>
  </w:num>
  <w:num w:numId="50" w16cid:durableId="1850675249">
    <w:abstractNumId w:val="773"/>
  </w:num>
  <w:num w:numId="51" w16cid:durableId="1256283137">
    <w:abstractNumId w:val="197"/>
  </w:num>
  <w:num w:numId="52" w16cid:durableId="1680960883">
    <w:abstractNumId w:val="683"/>
  </w:num>
  <w:num w:numId="53" w16cid:durableId="690103763">
    <w:abstractNumId w:val="699"/>
  </w:num>
  <w:num w:numId="54" w16cid:durableId="1139810598">
    <w:abstractNumId w:val="163"/>
  </w:num>
  <w:num w:numId="55" w16cid:durableId="1427384536">
    <w:abstractNumId w:val="345"/>
  </w:num>
  <w:num w:numId="56" w16cid:durableId="446973763">
    <w:abstractNumId w:val="401"/>
  </w:num>
  <w:num w:numId="57" w16cid:durableId="139613241">
    <w:abstractNumId w:val="663"/>
  </w:num>
  <w:num w:numId="58" w16cid:durableId="1478181182">
    <w:abstractNumId w:val="525"/>
  </w:num>
  <w:num w:numId="59" w16cid:durableId="851795243">
    <w:abstractNumId w:val="359"/>
  </w:num>
  <w:num w:numId="60" w16cid:durableId="141238807">
    <w:abstractNumId w:val="154"/>
  </w:num>
  <w:num w:numId="61" w16cid:durableId="124935656">
    <w:abstractNumId w:val="324"/>
  </w:num>
  <w:num w:numId="62" w16cid:durableId="1207369823">
    <w:abstractNumId w:val="477"/>
  </w:num>
  <w:num w:numId="63" w16cid:durableId="1862473204">
    <w:abstractNumId w:val="829"/>
  </w:num>
  <w:num w:numId="64" w16cid:durableId="1905604542">
    <w:abstractNumId w:val="1006"/>
  </w:num>
  <w:num w:numId="65" w16cid:durableId="982196344">
    <w:abstractNumId w:val="385"/>
  </w:num>
  <w:num w:numId="66" w16cid:durableId="1139298235">
    <w:abstractNumId w:val="628"/>
  </w:num>
  <w:num w:numId="67" w16cid:durableId="204954824">
    <w:abstractNumId w:val="136"/>
  </w:num>
  <w:num w:numId="68" w16cid:durableId="1038746496">
    <w:abstractNumId w:val="967"/>
  </w:num>
  <w:num w:numId="69" w16cid:durableId="1811558101">
    <w:abstractNumId w:val="842"/>
  </w:num>
  <w:num w:numId="70" w16cid:durableId="1843200846">
    <w:abstractNumId w:val="406"/>
  </w:num>
  <w:num w:numId="71" w16cid:durableId="1933119339">
    <w:abstractNumId w:val="828"/>
  </w:num>
  <w:num w:numId="72" w16cid:durableId="1036852241">
    <w:abstractNumId w:val="832"/>
  </w:num>
  <w:num w:numId="73" w16cid:durableId="1790315074">
    <w:abstractNumId w:val="19"/>
  </w:num>
  <w:num w:numId="74" w16cid:durableId="663705308">
    <w:abstractNumId w:val="139"/>
  </w:num>
  <w:num w:numId="75" w16cid:durableId="1957102363">
    <w:abstractNumId w:val="782"/>
  </w:num>
  <w:num w:numId="76" w16cid:durableId="1108499460">
    <w:abstractNumId w:val="917"/>
  </w:num>
  <w:num w:numId="77" w16cid:durableId="1234468293">
    <w:abstractNumId w:val="619"/>
  </w:num>
  <w:num w:numId="78" w16cid:durableId="798187297">
    <w:abstractNumId w:val="270"/>
  </w:num>
  <w:num w:numId="79" w16cid:durableId="1148740106">
    <w:abstractNumId w:val="965"/>
  </w:num>
  <w:num w:numId="80" w16cid:durableId="1447694620">
    <w:abstractNumId w:val="540"/>
  </w:num>
  <w:num w:numId="81" w16cid:durableId="390544746">
    <w:abstractNumId w:val="378"/>
  </w:num>
  <w:num w:numId="82" w16cid:durableId="1409034327">
    <w:abstractNumId w:val="564"/>
  </w:num>
  <w:num w:numId="83" w16cid:durableId="958491209">
    <w:abstractNumId w:val="293"/>
  </w:num>
  <w:num w:numId="84" w16cid:durableId="1079716391">
    <w:abstractNumId w:val="848"/>
  </w:num>
  <w:num w:numId="85" w16cid:durableId="1112434928">
    <w:abstractNumId w:val="751"/>
  </w:num>
  <w:num w:numId="86" w16cid:durableId="44765783">
    <w:abstractNumId w:val="386"/>
  </w:num>
  <w:num w:numId="87" w16cid:durableId="1506021163">
    <w:abstractNumId w:val="1021"/>
  </w:num>
  <w:num w:numId="88" w16cid:durableId="231236709">
    <w:abstractNumId w:val="973"/>
  </w:num>
  <w:num w:numId="89" w16cid:durableId="1425108391">
    <w:abstractNumId w:val="542"/>
  </w:num>
  <w:num w:numId="90" w16cid:durableId="1859351942">
    <w:abstractNumId w:val="347"/>
  </w:num>
  <w:num w:numId="91" w16cid:durableId="1731536428">
    <w:abstractNumId w:val="206"/>
  </w:num>
  <w:num w:numId="92" w16cid:durableId="515383001">
    <w:abstractNumId w:val="59"/>
  </w:num>
  <w:num w:numId="93" w16cid:durableId="360398021">
    <w:abstractNumId w:val="275"/>
  </w:num>
  <w:num w:numId="94" w16cid:durableId="174923808">
    <w:abstractNumId w:val="443"/>
  </w:num>
  <w:num w:numId="95" w16cid:durableId="473181489">
    <w:abstractNumId w:val="27"/>
  </w:num>
  <w:num w:numId="96" w16cid:durableId="1788426273">
    <w:abstractNumId w:val="45"/>
  </w:num>
  <w:num w:numId="97" w16cid:durableId="436874185">
    <w:abstractNumId w:val="155"/>
  </w:num>
  <w:num w:numId="98" w16cid:durableId="1998848881">
    <w:abstractNumId w:val="750"/>
  </w:num>
  <w:num w:numId="99" w16cid:durableId="730663910">
    <w:abstractNumId w:val="188"/>
  </w:num>
  <w:num w:numId="100" w16cid:durableId="705720526">
    <w:abstractNumId w:val="87"/>
  </w:num>
  <w:num w:numId="101" w16cid:durableId="1403674464">
    <w:abstractNumId w:val="989"/>
  </w:num>
  <w:num w:numId="102" w16cid:durableId="815487411">
    <w:abstractNumId w:val="667"/>
  </w:num>
  <w:num w:numId="103" w16cid:durableId="1816412511">
    <w:abstractNumId w:val="412"/>
  </w:num>
  <w:num w:numId="104" w16cid:durableId="291403418">
    <w:abstractNumId w:val="104"/>
  </w:num>
  <w:num w:numId="105" w16cid:durableId="1038819725">
    <w:abstractNumId w:val="981"/>
  </w:num>
  <w:num w:numId="106" w16cid:durableId="1303459653">
    <w:abstractNumId w:val="46"/>
  </w:num>
  <w:num w:numId="107" w16cid:durableId="107505101">
    <w:abstractNumId w:val="209"/>
  </w:num>
  <w:num w:numId="108" w16cid:durableId="771316342">
    <w:abstractNumId w:val="500"/>
  </w:num>
  <w:num w:numId="109" w16cid:durableId="390857075">
    <w:abstractNumId w:val="860"/>
  </w:num>
  <w:num w:numId="110" w16cid:durableId="1317759215">
    <w:abstractNumId w:val="870"/>
  </w:num>
  <w:num w:numId="111" w16cid:durableId="1554851074">
    <w:abstractNumId w:val="301"/>
  </w:num>
  <w:num w:numId="112" w16cid:durableId="70590409">
    <w:abstractNumId w:val="759"/>
  </w:num>
  <w:num w:numId="113" w16cid:durableId="646208079">
    <w:abstractNumId w:val="704"/>
  </w:num>
  <w:num w:numId="114" w16cid:durableId="1368288384">
    <w:abstractNumId w:val="684"/>
  </w:num>
  <w:num w:numId="115" w16cid:durableId="925304387">
    <w:abstractNumId w:val="120"/>
  </w:num>
  <w:num w:numId="116" w16cid:durableId="1780564578">
    <w:abstractNumId w:val="480"/>
  </w:num>
  <w:num w:numId="117" w16cid:durableId="1897661843">
    <w:abstractNumId w:val="257"/>
  </w:num>
  <w:num w:numId="118" w16cid:durableId="262306618">
    <w:abstractNumId w:val="67"/>
  </w:num>
  <w:num w:numId="119" w16cid:durableId="1081870374">
    <w:abstractNumId w:val="553"/>
  </w:num>
  <w:num w:numId="120" w16cid:durableId="1550995798">
    <w:abstractNumId w:val="42"/>
  </w:num>
  <w:num w:numId="121" w16cid:durableId="551312743">
    <w:abstractNumId w:val="893"/>
  </w:num>
  <w:num w:numId="122" w16cid:durableId="2047170488">
    <w:abstractNumId w:val="657"/>
  </w:num>
  <w:num w:numId="123" w16cid:durableId="16395167">
    <w:abstractNumId w:val="421"/>
  </w:num>
  <w:num w:numId="124" w16cid:durableId="611131355">
    <w:abstractNumId w:val="266"/>
  </w:num>
  <w:num w:numId="125" w16cid:durableId="1214999949">
    <w:abstractNumId w:val="148"/>
  </w:num>
  <w:num w:numId="126" w16cid:durableId="1400477">
    <w:abstractNumId w:val="399"/>
  </w:num>
  <w:num w:numId="127" w16cid:durableId="161705551">
    <w:abstractNumId w:val="202"/>
  </w:num>
  <w:num w:numId="128" w16cid:durableId="479345889">
    <w:abstractNumId w:val="319"/>
  </w:num>
  <w:num w:numId="129" w16cid:durableId="1092092798">
    <w:abstractNumId w:val="771"/>
  </w:num>
  <w:num w:numId="130" w16cid:durableId="503056500">
    <w:abstractNumId w:val="700"/>
  </w:num>
  <w:num w:numId="131" w16cid:durableId="1823695070">
    <w:abstractNumId w:val="488"/>
  </w:num>
  <w:num w:numId="132" w16cid:durableId="1654142246">
    <w:abstractNumId w:val="276"/>
  </w:num>
  <w:num w:numId="133" w16cid:durableId="546262173">
    <w:abstractNumId w:val="947"/>
  </w:num>
  <w:num w:numId="134" w16cid:durableId="1971473118">
    <w:abstractNumId w:val="472"/>
  </w:num>
  <w:num w:numId="135" w16cid:durableId="1823081473">
    <w:abstractNumId w:val="976"/>
  </w:num>
  <w:num w:numId="136" w16cid:durableId="952133270">
    <w:abstractNumId w:val="469"/>
  </w:num>
  <w:num w:numId="137" w16cid:durableId="1273829588">
    <w:abstractNumId w:val="25"/>
  </w:num>
  <w:num w:numId="138" w16cid:durableId="972101207">
    <w:abstractNumId w:val="921"/>
  </w:num>
  <w:num w:numId="139" w16cid:durableId="1191842701">
    <w:abstractNumId w:val="366"/>
  </w:num>
  <w:num w:numId="140" w16cid:durableId="835608991">
    <w:abstractNumId w:val="183"/>
  </w:num>
  <w:num w:numId="141" w16cid:durableId="1512062161">
    <w:abstractNumId w:val="801"/>
  </w:num>
  <w:num w:numId="142" w16cid:durableId="1494103221">
    <w:abstractNumId w:val="659"/>
  </w:num>
  <w:num w:numId="143" w16cid:durableId="1018121323">
    <w:abstractNumId w:val="108"/>
  </w:num>
  <w:num w:numId="144" w16cid:durableId="1879588550">
    <w:abstractNumId w:val="144"/>
  </w:num>
  <w:num w:numId="145" w16cid:durableId="1134984519">
    <w:abstractNumId w:val="5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98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642"/>
  </w:num>
  <w:num w:numId="148" w16cid:durableId="1920865252">
    <w:abstractNumId w:val="665"/>
  </w:num>
  <w:num w:numId="149" w16cid:durableId="1342078707">
    <w:abstractNumId w:val="460"/>
  </w:num>
  <w:num w:numId="150" w16cid:durableId="193035228">
    <w:abstractNumId w:val="185"/>
  </w:num>
  <w:num w:numId="151" w16cid:durableId="184439367">
    <w:abstractNumId w:val="63"/>
  </w:num>
  <w:num w:numId="152" w16cid:durableId="621041337">
    <w:abstractNumId w:val="849"/>
  </w:num>
  <w:num w:numId="153" w16cid:durableId="1364986458">
    <w:abstractNumId w:val="244"/>
  </w:num>
  <w:num w:numId="154" w16cid:durableId="1097794206">
    <w:abstractNumId w:val="575"/>
  </w:num>
  <w:num w:numId="155" w16cid:durableId="471293945">
    <w:abstractNumId w:val="219"/>
  </w:num>
  <w:num w:numId="156" w16cid:durableId="233861890">
    <w:abstractNumId w:val="411"/>
  </w:num>
  <w:num w:numId="157" w16cid:durableId="1566799051">
    <w:abstractNumId w:val="518"/>
  </w:num>
  <w:num w:numId="158" w16cid:durableId="1935894964">
    <w:abstractNumId w:val="567"/>
  </w:num>
  <w:num w:numId="159" w16cid:durableId="1499075522">
    <w:abstractNumId w:val="341"/>
  </w:num>
  <w:num w:numId="160" w16cid:durableId="474370772">
    <w:abstractNumId w:val="162"/>
  </w:num>
  <w:num w:numId="161" w16cid:durableId="1393389754">
    <w:abstractNumId w:val="176"/>
  </w:num>
  <w:num w:numId="162" w16cid:durableId="1534030185">
    <w:abstractNumId w:val="822"/>
  </w:num>
  <w:num w:numId="163" w16cid:durableId="279646940">
    <w:abstractNumId w:val="288"/>
  </w:num>
  <w:num w:numId="164" w16cid:durableId="605312509">
    <w:abstractNumId w:val="761"/>
  </w:num>
  <w:num w:numId="165" w16cid:durableId="443185882">
    <w:abstractNumId w:val="929"/>
  </w:num>
  <w:num w:numId="166" w16cid:durableId="1252742756">
    <w:abstractNumId w:val="146"/>
  </w:num>
  <w:num w:numId="167" w16cid:durableId="260846523">
    <w:abstractNumId w:val="661"/>
  </w:num>
  <w:num w:numId="168" w16cid:durableId="1324041525">
    <w:abstractNumId w:val="578"/>
  </w:num>
  <w:num w:numId="169" w16cid:durableId="1262252593">
    <w:abstractNumId w:val="544"/>
  </w:num>
  <w:num w:numId="170" w16cid:durableId="568425394">
    <w:abstractNumId w:val="826"/>
  </w:num>
  <w:num w:numId="171" w16cid:durableId="1098595399">
    <w:abstractNumId w:val="539"/>
  </w:num>
  <w:num w:numId="172" w16cid:durableId="966275078">
    <w:abstractNumId w:val="408"/>
  </w:num>
  <w:num w:numId="173" w16cid:durableId="17505991">
    <w:abstractNumId w:val="958"/>
  </w:num>
  <w:num w:numId="174" w16cid:durableId="2122797601">
    <w:abstractNumId w:val="854"/>
  </w:num>
  <w:num w:numId="175" w16cid:durableId="260995503">
    <w:abstractNumId w:val="348"/>
  </w:num>
  <w:num w:numId="176" w16cid:durableId="79330256">
    <w:abstractNumId w:val="166"/>
  </w:num>
  <w:num w:numId="177" w16cid:durableId="926495480">
    <w:abstractNumId w:val="988"/>
  </w:num>
  <w:num w:numId="178" w16cid:durableId="426199675">
    <w:abstractNumId w:val="444"/>
  </w:num>
  <w:num w:numId="179" w16cid:durableId="669715114">
    <w:abstractNumId w:val="5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621"/>
  </w:num>
  <w:num w:numId="181" w16cid:durableId="616567933">
    <w:abstractNumId w:val="229"/>
  </w:num>
  <w:num w:numId="182" w16cid:durableId="848452348">
    <w:abstractNumId w:val="326"/>
  </w:num>
  <w:num w:numId="183" w16cid:durableId="1333797169">
    <w:abstractNumId w:val="483"/>
  </w:num>
  <w:num w:numId="184" w16cid:durableId="2044944210">
    <w:abstractNumId w:val="30"/>
  </w:num>
  <w:num w:numId="185" w16cid:durableId="183713347">
    <w:abstractNumId w:val="639"/>
  </w:num>
  <w:num w:numId="186" w16cid:durableId="1265381070">
    <w:abstractNumId w:val="998"/>
  </w:num>
  <w:num w:numId="187" w16cid:durableId="1455371280">
    <w:abstractNumId w:val="990"/>
  </w:num>
  <w:num w:numId="188" w16cid:durableId="13771316">
    <w:abstractNumId w:val="899"/>
  </w:num>
  <w:num w:numId="189" w16cid:durableId="1552574112">
    <w:abstractNumId w:val="194"/>
  </w:num>
  <w:num w:numId="190" w16cid:durableId="1183209648">
    <w:abstractNumId w:val="1020"/>
  </w:num>
  <w:num w:numId="191" w16cid:durableId="620651123">
    <w:abstractNumId w:val="372"/>
  </w:num>
  <w:num w:numId="192" w16cid:durableId="512190583">
    <w:abstractNumId w:val="915"/>
  </w:num>
  <w:num w:numId="193" w16cid:durableId="1812013657">
    <w:abstractNumId w:val="7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357"/>
  </w:num>
  <w:num w:numId="195" w16cid:durableId="480510505">
    <w:abstractNumId w:val="922"/>
  </w:num>
  <w:num w:numId="196" w16cid:durableId="348870539">
    <w:abstractNumId w:val="299"/>
  </w:num>
  <w:num w:numId="197" w16cid:durableId="755174581">
    <w:abstractNumId w:val="885"/>
  </w:num>
  <w:num w:numId="198" w16cid:durableId="682511064">
    <w:abstractNumId w:val="335"/>
  </w:num>
  <w:num w:numId="199" w16cid:durableId="213124055">
    <w:abstractNumId w:val="236"/>
  </w:num>
  <w:num w:numId="200" w16cid:durableId="1930961606">
    <w:abstractNumId w:val="254"/>
  </w:num>
  <w:num w:numId="201" w16cid:durableId="1187672001">
    <w:abstractNumId w:val="195"/>
  </w:num>
  <w:num w:numId="202" w16cid:durableId="140732686">
    <w:abstractNumId w:val="997"/>
  </w:num>
  <w:num w:numId="203" w16cid:durableId="2099668977">
    <w:abstractNumId w:val="857"/>
  </w:num>
  <w:num w:numId="204" w16cid:durableId="1423330075">
    <w:abstractNumId w:val="587"/>
  </w:num>
  <w:num w:numId="205" w16cid:durableId="516430635">
    <w:abstractNumId w:val="590"/>
  </w:num>
  <w:num w:numId="206" w16cid:durableId="132914076">
    <w:abstractNumId w:val="858"/>
  </w:num>
  <w:num w:numId="207" w16cid:durableId="1553468210">
    <w:abstractNumId w:val="314"/>
  </w:num>
  <w:num w:numId="208" w16cid:durableId="530605028">
    <w:abstractNumId w:val="262"/>
  </w:num>
  <w:num w:numId="209" w16cid:durableId="1896356902">
    <w:abstractNumId w:val="5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530"/>
  </w:num>
  <w:num w:numId="211" w16cid:durableId="923496937">
    <w:abstractNumId w:val="212"/>
  </w:num>
  <w:num w:numId="212" w16cid:durableId="1288967158">
    <w:abstractNumId w:val="836"/>
  </w:num>
  <w:num w:numId="213" w16cid:durableId="2100056123">
    <w:abstractNumId w:val="841"/>
  </w:num>
  <w:num w:numId="214" w16cid:durableId="674382947">
    <w:abstractNumId w:val="589"/>
  </w:num>
  <w:num w:numId="215" w16cid:durableId="1600212391">
    <w:abstractNumId w:val="9"/>
  </w:num>
  <w:num w:numId="216" w16cid:durableId="957178947">
    <w:abstractNumId w:val="951"/>
  </w:num>
  <w:num w:numId="217" w16cid:durableId="856037630">
    <w:abstractNumId w:val="481"/>
  </w:num>
  <w:num w:numId="218" w16cid:durableId="177741845">
    <w:abstractNumId w:val="629"/>
  </w:num>
  <w:num w:numId="219" w16cid:durableId="234317243">
    <w:abstractNumId w:val="550"/>
  </w:num>
  <w:num w:numId="220" w16cid:durableId="207114382">
    <w:abstractNumId w:val="600"/>
  </w:num>
  <w:num w:numId="221" w16cid:durableId="499197150">
    <w:abstractNumId w:val="573"/>
  </w:num>
  <w:num w:numId="222" w16cid:durableId="208733871">
    <w:abstractNumId w:val="905"/>
  </w:num>
  <w:num w:numId="223" w16cid:durableId="650669702">
    <w:abstractNumId w:val="64"/>
  </w:num>
  <w:num w:numId="224" w16cid:durableId="1420369411">
    <w:abstractNumId w:val="141"/>
  </w:num>
  <w:num w:numId="225" w16cid:durableId="2138523187">
    <w:abstractNumId w:val="591"/>
  </w:num>
  <w:num w:numId="226" w16cid:durableId="1753432703">
    <w:abstractNumId w:val="62"/>
  </w:num>
  <w:num w:numId="227" w16cid:durableId="1286698376">
    <w:abstractNumId w:val="732"/>
  </w:num>
  <w:num w:numId="228" w16cid:durableId="926614891">
    <w:abstractNumId w:val="333"/>
  </w:num>
  <w:num w:numId="229" w16cid:durableId="2003779183">
    <w:abstractNumId w:val="61"/>
  </w:num>
  <w:num w:numId="230" w16cid:durableId="1626421133">
    <w:abstractNumId w:val="592"/>
  </w:num>
  <w:num w:numId="231" w16cid:durableId="1514107354">
    <w:abstractNumId w:val="121"/>
  </w:num>
  <w:num w:numId="232" w16cid:durableId="2002198122">
    <w:abstractNumId w:val="534"/>
  </w:num>
  <w:num w:numId="233" w16cid:durableId="65298297">
    <w:abstractNumId w:val="558"/>
  </w:num>
  <w:num w:numId="234" w16cid:durableId="9379085">
    <w:abstractNumId w:val="914"/>
  </w:num>
  <w:num w:numId="235" w16cid:durableId="792747114">
    <w:abstractNumId w:val="740"/>
  </w:num>
  <w:num w:numId="236" w16cid:durableId="448009427">
    <w:abstractNumId w:val="669"/>
  </w:num>
  <w:num w:numId="237" w16cid:durableId="464274601">
    <w:abstractNumId w:val="513"/>
  </w:num>
  <w:num w:numId="238" w16cid:durableId="1460339731">
    <w:abstractNumId w:val="137"/>
  </w:num>
  <w:num w:numId="239" w16cid:durableId="2088336002">
    <w:abstractNumId w:val="234"/>
  </w:num>
  <w:num w:numId="240" w16cid:durableId="716852569">
    <w:abstractNumId w:val="612"/>
  </w:num>
  <w:num w:numId="241" w16cid:durableId="573198160">
    <w:abstractNumId w:val="99"/>
  </w:num>
  <w:num w:numId="242" w16cid:durableId="2128695751">
    <w:abstractNumId w:val="342"/>
  </w:num>
  <w:num w:numId="243" w16cid:durableId="355353616">
    <w:abstractNumId w:val="835"/>
  </w:num>
  <w:num w:numId="244" w16cid:durableId="347217491">
    <w:abstractNumId w:val="7"/>
    <w:lvlOverride w:ilvl="0">
      <w:startOverride w:val="1"/>
    </w:lvlOverride>
  </w:num>
  <w:num w:numId="245" w16cid:durableId="31680508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6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23"/>
  </w:num>
  <w:num w:numId="248" w16cid:durableId="156500565">
    <w:abstractNumId w:val="423"/>
  </w:num>
  <w:num w:numId="249" w16cid:durableId="911039511">
    <w:abstractNumId w:val="799"/>
  </w:num>
  <w:num w:numId="250" w16cid:durableId="689067992">
    <w:abstractNumId w:val="985"/>
  </w:num>
  <w:num w:numId="251" w16cid:durableId="88621504">
    <w:abstractNumId w:val="5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1018"/>
  </w:num>
  <w:num w:numId="253" w16cid:durableId="704646338">
    <w:abstractNumId w:val="969"/>
  </w:num>
  <w:num w:numId="254" w16cid:durableId="411121149">
    <w:abstractNumId w:val="5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368"/>
  </w:num>
  <w:num w:numId="256" w16cid:durableId="1623340113">
    <w:abstractNumId w:val="53"/>
  </w:num>
  <w:num w:numId="257" w16cid:durableId="856625358">
    <w:abstractNumId w:val="936"/>
  </w:num>
  <w:num w:numId="258" w16cid:durableId="1943561945">
    <w:abstractNumId w:val="651"/>
    <w:lvlOverride w:ilvl="0">
      <w:startOverride w:val="1"/>
    </w:lvlOverride>
  </w:num>
  <w:num w:numId="259" w16cid:durableId="1362588517">
    <w:abstractNumId w:val="620"/>
    <w:lvlOverride w:ilvl="0">
      <w:startOverride w:val="1"/>
    </w:lvlOverride>
    <w:lvlOverride w:ilvl="1"/>
    <w:lvlOverride w:ilvl="2"/>
    <w:lvlOverride w:ilvl="3"/>
    <w:lvlOverride w:ilvl="4"/>
    <w:lvlOverride w:ilvl="5"/>
    <w:lvlOverride w:ilvl="6"/>
    <w:lvlOverride w:ilvl="7"/>
    <w:lvlOverride w:ilvl="8"/>
  </w:num>
  <w:num w:numId="260" w16cid:durableId="662661696">
    <w:abstractNumId w:val="445"/>
  </w:num>
  <w:num w:numId="261" w16cid:durableId="2024940103">
    <w:abstractNumId w:val="887"/>
  </w:num>
  <w:num w:numId="262" w16cid:durableId="765005926">
    <w:abstractNumId w:val="373"/>
  </w:num>
  <w:num w:numId="263" w16cid:durableId="1064451611">
    <w:abstractNumId w:val="177"/>
  </w:num>
  <w:num w:numId="264" w16cid:durableId="1318849390">
    <w:abstractNumId w:val="821"/>
  </w:num>
  <w:num w:numId="265" w16cid:durableId="959382145">
    <w:abstractNumId w:val="92"/>
  </w:num>
  <w:num w:numId="266" w16cid:durableId="850728947">
    <w:abstractNumId w:val="52"/>
  </w:num>
  <w:num w:numId="267" w16cid:durableId="174156760">
    <w:abstractNumId w:val="798"/>
  </w:num>
  <w:num w:numId="268" w16cid:durableId="2101950285">
    <w:abstractNumId w:val="459"/>
  </w:num>
  <w:num w:numId="269" w16cid:durableId="967247845">
    <w:abstractNumId w:val="318"/>
  </w:num>
  <w:num w:numId="270" w16cid:durableId="268204703">
    <w:abstractNumId w:val="204"/>
  </w:num>
  <w:num w:numId="271" w16cid:durableId="2093041769">
    <w:abstractNumId w:val="606"/>
  </w:num>
  <w:num w:numId="272" w16cid:durableId="513807455">
    <w:abstractNumId w:val="1005"/>
  </w:num>
  <w:num w:numId="273" w16cid:durableId="1183780686">
    <w:abstractNumId w:val="538"/>
  </w:num>
  <w:num w:numId="274" w16cid:durableId="1200363486">
    <w:abstractNumId w:val="102"/>
  </w:num>
  <w:num w:numId="275" w16cid:durableId="1744914822">
    <w:abstractNumId w:val="449"/>
  </w:num>
  <w:num w:numId="276" w16cid:durableId="1454054575">
    <w:abstractNumId w:val="246"/>
  </w:num>
  <w:num w:numId="277" w16cid:durableId="375928787">
    <w:abstractNumId w:val="637"/>
  </w:num>
  <w:num w:numId="278" w16cid:durableId="1404376487">
    <w:abstractNumId w:val="693"/>
  </w:num>
  <w:num w:numId="279" w16cid:durableId="1476684686">
    <w:abstractNumId w:val="913"/>
  </w:num>
  <w:num w:numId="280" w16cid:durableId="1680085818">
    <w:abstractNumId w:val="627"/>
  </w:num>
  <w:num w:numId="281" w16cid:durableId="1538276170">
    <w:abstractNumId w:val="902"/>
  </w:num>
  <w:num w:numId="282" w16cid:durableId="1233586950">
    <w:abstractNumId w:val="746"/>
  </w:num>
  <w:num w:numId="283" w16cid:durableId="511064844">
    <w:abstractNumId w:val="970"/>
  </w:num>
  <w:num w:numId="284" w16cid:durableId="112678227">
    <w:abstractNumId w:val="12"/>
  </w:num>
  <w:num w:numId="285" w16cid:durableId="246619738">
    <w:abstractNumId w:val="769"/>
  </w:num>
  <w:num w:numId="286" w16cid:durableId="149561389">
    <w:abstractNumId w:val="1001"/>
  </w:num>
  <w:num w:numId="287" w16cid:durableId="96491753">
    <w:abstractNumId w:val="614"/>
  </w:num>
  <w:num w:numId="288" w16cid:durableId="528303774">
    <w:abstractNumId w:val="715"/>
  </w:num>
  <w:num w:numId="289" w16cid:durableId="1795559387">
    <w:abstractNumId w:val="735"/>
  </w:num>
  <w:num w:numId="290" w16cid:durableId="1876968532">
    <w:abstractNumId w:val="245"/>
  </w:num>
  <w:num w:numId="291" w16cid:durableId="340552470">
    <w:abstractNumId w:val="117"/>
  </w:num>
  <w:num w:numId="292" w16cid:durableId="1955091229">
    <w:abstractNumId w:val="912"/>
  </w:num>
  <w:num w:numId="293" w16cid:durableId="1420175202">
    <w:abstractNumId w:val="428"/>
  </w:num>
  <w:num w:numId="294" w16cid:durableId="384720639">
    <w:abstractNumId w:val="149"/>
  </w:num>
  <w:num w:numId="295" w16cid:durableId="904418190">
    <w:abstractNumId w:val="103"/>
  </w:num>
  <w:num w:numId="296" w16cid:durableId="1065756989">
    <w:abstractNumId w:val="503"/>
  </w:num>
  <w:num w:numId="297" w16cid:durableId="1247687493">
    <w:abstractNumId w:val="404"/>
  </w:num>
  <w:num w:numId="298" w16cid:durableId="462233371">
    <w:abstractNumId w:val="613"/>
  </w:num>
  <w:num w:numId="299" w16cid:durableId="318310673">
    <w:abstractNumId w:val="610"/>
  </w:num>
  <w:num w:numId="300" w16cid:durableId="2061663196">
    <w:abstractNumId w:val="814"/>
  </w:num>
  <w:num w:numId="301" w16cid:durableId="1741949037">
    <w:abstractNumId w:val="536"/>
  </w:num>
  <w:num w:numId="302" w16cid:durableId="1636518501">
    <w:abstractNumId w:val="926"/>
  </w:num>
  <w:num w:numId="303" w16cid:durableId="1371419210">
    <w:abstractNumId w:val="380"/>
  </w:num>
  <w:num w:numId="304" w16cid:durableId="1885681087">
    <w:abstractNumId w:val="199"/>
  </w:num>
  <w:num w:numId="305" w16cid:durableId="718092894">
    <w:abstractNumId w:val="454"/>
  </w:num>
  <w:num w:numId="306" w16cid:durableId="1456869833">
    <w:abstractNumId w:val="726"/>
  </w:num>
  <w:num w:numId="307" w16cid:durableId="1516637">
    <w:abstractNumId w:val="55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226"/>
  </w:num>
  <w:num w:numId="309" w16cid:durableId="524487630">
    <w:abstractNumId w:val="766"/>
  </w:num>
  <w:num w:numId="310" w16cid:durableId="155269771">
    <w:abstractNumId w:val="1017"/>
  </w:num>
  <w:num w:numId="311" w16cid:durableId="520316022">
    <w:abstractNumId w:val="31"/>
  </w:num>
  <w:num w:numId="312" w16cid:durableId="1586840183">
    <w:abstractNumId w:val="743"/>
  </w:num>
  <w:num w:numId="313" w16cid:durableId="487598853">
    <w:abstractNumId w:val="804"/>
  </w:num>
  <w:num w:numId="314" w16cid:durableId="416442120">
    <w:abstractNumId w:val="694"/>
  </w:num>
  <w:num w:numId="315" w16cid:durableId="1570186959">
    <w:abstractNumId w:val="106"/>
  </w:num>
  <w:num w:numId="316" w16cid:durableId="235360647">
    <w:abstractNumId w:val="855"/>
  </w:num>
  <w:num w:numId="317" w16cid:durableId="20127502">
    <w:abstractNumId w:val="26"/>
  </w:num>
  <w:num w:numId="318" w16cid:durableId="190412543">
    <w:abstractNumId w:val="825"/>
  </w:num>
  <w:num w:numId="319" w16cid:durableId="1723820181">
    <w:abstractNumId w:val="763"/>
  </w:num>
  <w:num w:numId="320" w16cid:durableId="1859003746">
    <w:abstractNumId w:val="361"/>
  </w:num>
  <w:num w:numId="321" w16cid:durableId="1745760329">
    <w:abstractNumId w:val="691"/>
  </w:num>
  <w:num w:numId="322" w16cid:durableId="329722360">
    <w:abstractNumId w:val="919"/>
  </w:num>
  <w:num w:numId="323" w16cid:durableId="1257782715">
    <w:abstractNumId w:val="111"/>
  </w:num>
  <w:num w:numId="324" w16cid:durableId="2082945470">
    <w:abstractNumId w:val="815"/>
  </w:num>
  <w:num w:numId="325" w16cid:durableId="1883594749">
    <w:abstractNumId w:val="934"/>
  </w:num>
  <w:num w:numId="326" w16cid:durableId="1222518158">
    <w:abstractNumId w:val="844"/>
  </w:num>
  <w:num w:numId="327" w16cid:durableId="2131241630">
    <w:abstractNumId w:val="582"/>
  </w:num>
  <w:num w:numId="328" w16cid:durableId="617218877">
    <w:abstractNumId w:val="211"/>
  </w:num>
  <w:num w:numId="329" w16cid:durableId="1485197917">
    <w:abstractNumId w:val="632"/>
  </w:num>
  <w:num w:numId="330" w16cid:durableId="19472295">
    <w:abstractNumId w:val="809"/>
  </w:num>
  <w:num w:numId="331" w16cid:durableId="344871083">
    <w:abstractNumId w:val="311"/>
  </w:num>
  <w:num w:numId="332" w16cid:durableId="145324763">
    <w:abstractNumId w:val="249"/>
  </w:num>
  <w:num w:numId="333" w16cid:durableId="1867518763">
    <w:abstractNumId w:val="494"/>
  </w:num>
  <w:num w:numId="334" w16cid:durableId="341056865">
    <w:abstractNumId w:val="837"/>
  </w:num>
  <w:num w:numId="335" w16cid:durableId="921185223">
    <w:abstractNumId w:val="736"/>
  </w:num>
  <w:num w:numId="336" w16cid:durableId="607853744">
    <w:abstractNumId w:val="456"/>
  </w:num>
  <w:num w:numId="337" w16cid:durableId="913128973">
    <w:abstractNumId w:val="1010"/>
  </w:num>
  <w:num w:numId="338" w16cid:durableId="1198350464">
    <w:abstractNumId w:val="529"/>
  </w:num>
  <w:num w:numId="339" w16cid:durableId="1256136611">
    <w:abstractNumId w:val="962"/>
  </w:num>
  <w:num w:numId="340" w16cid:durableId="1824157706">
    <w:abstractNumId w:val="105"/>
  </w:num>
  <w:num w:numId="341" w16cid:durableId="8800527">
    <w:abstractNumId w:val="425"/>
  </w:num>
  <w:num w:numId="342" w16cid:durableId="149835737">
    <w:abstractNumId w:val="502"/>
  </w:num>
  <w:num w:numId="343" w16cid:durableId="99885260">
    <w:abstractNumId w:val="579"/>
  </w:num>
  <w:num w:numId="344" w16cid:durableId="1664966953">
    <w:abstractNumId w:val="21"/>
  </w:num>
  <w:num w:numId="345" w16cid:durableId="820730037">
    <w:abstractNumId w:val="260"/>
  </w:num>
  <w:num w:numId="346" w16cid:durableId="1491023493">
    <w:abstractNumId w:val="297"/>
  </w:num>
  <w:num w:numId="347" w16cid:durableId="1142112344">
    <w:abstractNumId w:val="932"/>
  </w:num>
  <w:num w:numId="348" w16cid:durableId="1102455083">
    <w:abstractNumId w:val="1024"/>
  </w:num>
  <w:num w:numId="349" w16cid:durableId="405344657">
    <w:abstractNumId w:val="0"/>
  </w:num>
  <w:num w:numId="350" w16cid:durableId="363361753">
    <w:abstractNumId w:val="353"/>
  </w:num>
  <w:num w:numId="351" w16cid:durableId="1430195391">
    <w:abstractNumId w:val="647"/>
  </w:num>
  <w:num w:numId="352" w16cid:durableId="675574196">
    <w:abstractNumId w:val="495"/>
  </w:num>
  <w:num w:numId="353" w16cid:durableId="1331830237">
    <w:abstractNumId w:val="468"/>
  </w:num>
  <w:num w:numId="354" w16cid:durableId="1665207310">
    <w:abstractNumId w:val="1000"/>
  </w:num>
  <w:num w:numId="355" w16cid:durableId="630014183">
    <w:abstractNumId w:val="839"/>
  </w:num>
  <w:num w:numId="356" w16cid:durableId="653221145">
    <w:abstractNumId w:val="138"/>
  </w:num>
  <w:num w:numId="357" w16cid:durableId="1468623886">
    <w:abstractNumId w:val="223"/>
  </w:num>
  <w:num w:numId="358" w16cid:durableId="493569940">
    <w:abstractNumId w:val="682"/>
  </w:num>
  <w:num w:numId="359" w16cid:durableId="1169977916">
    <w:abstractNumId w:val="13"/>
  </w:num>
  <w:num w:numId="360" w16cid:durableId="742143149">
    <w:abstractNumId w:val="387"/>
  </w:num>
  <w:num w:numId="361" w16cid:durableId="393503111">
    <w:abstractNumId w:val="346"/>
  </w:num>
  <w:num w:numId="362" w16cid:durableId="944575105">
    <w:abstractNumId w:val="755"/>
  </w:num>
  <w:num w:numId="363" w16cid:durableId="487399848">
    <w:abstractNumId w:val="827"/>
  </w:num>
  <w:num w:numId="364" w16cid:durableId="1751198630">
    <w:abstractNumId w:val="785"/>
  </w:num>
  <w:num w:numId="365" w16cid:durableId="791945339">
    <w:abstractNumId w:val="644"/>
  </w:num>
  <w:num w:numId="366" w16cid:durableId="1229077118">
    <w:abstractNumId w:val="1015"/>
  </w:num>
  <w:num w:numId="367" w16cid:durableId="734670757">
    <w:abstractNumId w:val="845"/>
  </w:num>
  <w:num w:numId="368" w16cid:durableId="442531277">
    <w:abstractNumId w:val="264"/>
  </w:num>
  <w:num w:numId="369" w16cid:durableId="139540584">
    <w:abstractNumId w:val="676"/>
  </w:num>
  <w:num w:numId="370" w16cid:durableId="756024966">
    <w:abstractNumId w:val="509"/>
  </w:num>
  <w:num w:numId="371" w16cid:durableId="1651015305">
    <w:abstractNumId w:val="520"/>
  </w:num>
  <w:num w:numId="372" w16cid:durableId="348140211">
    <w:abstractNumId w:val="252"/>
  </w:num>
  <w:num w:numId="373" w16cid:durableId="1092360015">
    <w:abstractNumId w:val="66"/>
  </w:num>
  <w:num w:numId="374" w16cid:durableId="1837568906">
    <w:abstractNumId w:val="522"/>
  </w:num>
  <w:num w:numId="375" w16cid:durableId="1465659874">
    <w:abstractNumId w:val="831"/>
  </w:num>
  <w:num w:numId="376" w16cid:durableId="1716079692">
    <w:abstractNumId w:val="537"/>
  </w:num>
  <w:num w:numId="377" w16cid:durableId="1440295206">
    <w:abstractNumId w:val="656"/>
  </w:num>
  <w:num w:numId="378" w16cid:durableId="1171214127">
    <w:abstractNumId w:val="11"/>
  </w:num>
  <w:num w:numId="379" w16cid:durableId="1901942021">
    <w:abstractNumId w:val="216"/>
  </w:num>
  <w:num w:numId="380" w16cid:durableId="2007710354">
    <w:abstractNumId w:val="493"/>
  </w:num>
  <w:num w:numId="381" w16cid:durableId="1055737410">
    <w:abstractNumId w:val="603"/>
  </w:num>
  <w:num w:numId="382" w16cid:durableId="473067165">
    <w:abstractNumId w:val="172"/>
  </w:num>
  <w:num w:numId="383" w16cid:durableId="1438066315">
    <w:abstractNumId w:val="130"/>
  </w:num>
  <w:num w:numId="384" w16cid:durableId="1544176313">
    <w:abstractNumId w:val="1016"/>
  </w:num>
  <w:num w:numId="385" w16cid:durableId="1903103185">
    <w:abstractNumId w:val="685"/>
  </w:num>
  <w:num w:numId="386" w16cid:durableId="1810398006">
    <w:abstractNumId w:val="167"/>
  </w:num>
  <w:num w:numId="387" w16cid:durableId="471675312">
    <w:abstractNumId w:val="208"/>
  </w:num>
  <w:num w:numId="388" w16cid:durableId="1501697030">
    <w:abstractNumId w:val="374"/>
  </w:num>
  <w:num w:numId="389" w16cid:durableId="1686326770">
    <w:abstractNumId w:val="636"/>
  </w:num>
  <w:num w:numId="390" w16cid:durableId="2093039795">
    <w:abstractNumId w:val="158"/>
  </w:num>
  <w:num w:numId="391" w16cid:durableId="1265500361">
    <w:abstractNumId w:val="1008"/>
  </w:num>
  <w:num w:numId="392" w16cid:durableId="1495223456">
    <w:abstractNumId w:val="422"/>
  </w:num>
  <w:num w:numId="393" w16cid:durableId="1589192185">
    <w:abstractNumId w:val="555"/>
  </w:num>
  <w:num w:numId="394" w16cid:durableId="154689712">
    <w:abstractNumId w:val="638"/>
  </w:num>
  <w:num w:numId="395" w16cid:durableId="4938298">
    <w:abstractNumId w:val="975"/>
  </w:num>
  <w:num w:numId="396" w16cid:durableId="866676287">
    <w:abstractNumId w:val="878"/>
  </w:num>
  <w:num w:numId="397" w16cid:durableId="918059966">
    <w:abstractNumId w:val="789"/>
  </w:num>
  <w:num w:numId="398" w16cid:durableId="2049992704">
    <w:abstractNumId w:val="727"/>
  </w:num>
  <w:num w:numId="399" w16cid:durableId="391542335">
    <w:abstractNumId w:val="186"/>
  </w:num>
  <w:num w:numId="400" w16cid:durableId="506940125">
    <w:abstractNumId w:val="157"/>
  </w:num>
  <w:num w:numId="401" w16cid:durableId="1317996049">
    <w:abstractNumId w:val="1004"/>
  </w:num>
  <w:num w:numId="402" w16cid:durableId="1593079781">
    <w:abstractNumId w:val="643"/>
  </w:num>
  <w:num w:numId="403" w16cid:durableId="1488939056">
    <w:abstractNumId w:val="954"/>
  </w:num>
  <w:num w:numId="404" w16cid:durableId="1328902201">
    <w:abstractNumId w:val="616"/>
  </w:num>
  <w:num w:numId="405" w16cid:durableId="498154761">
    <w:abstractNumId w:val="687"/>
  </w:num>
  <w:num w:numId="406" w16cid:durableId="1099062148">
    <w:abstractNumId w:val="615"/>
  </w:num>
  <w:num w:numId="407" w16cid:durableId="606162016">
    <w:abstractNumId w:val="510"/>
  </w:num>
  <w:num w:numId="408" w16cid:durableId="1442870423">
    <w:abstractNumId w:val="450"/>
  </w:num>
  <w:num w:numId="409" w16cid:durableId="51584679">
    <w:abstractNumId w:val="123"/>
  </w:num>
  <w:num w:numId="410" w16cid:durableId="750934413">
    <w:abstractNumId w:val="941"/>
  </w:num>
  <w:num w:numId="411" w16cid:durableId="791438090">
    <w:abstractNumId w:val="674"/>
  </w:num>
  <w:num w:numId="412" w16cid:durableId="1287543025">
    <w:abstractNumId w:val="118"/>
  </w:num>
  <w:num w:numId="413" w16cid:durableId="1588229722">
    <w:abstractNumId w:val="918"/>
  </w:num>
  <w:num w:numId="414" w16cid:durableId="791438594">
    <w:abstractNumId w:val="706"/>
  </w:num>
  <w:num w:numId="415" w16cid:durableId="1453359052">
    <w:abstractNumId w:val="703"/>
  </w:num>
  <w:num w:numId="416" w16cid:durableId="31661157">
    <w:abstractNumId w:val="427"/>
  </w:num>
  <w:num w:numId="417" w16cid:durableId="2021002296">
    <w:abstractNumId w:val="175"/>
  </w:num>
  <w:num w:numId="418" w16cid:durableId="2095858963">
    <w:abstractNumId w:val="418"/>
  </w:num>
  <w:num w:numId="419" w16cid:durableId="728304727">
    <w:abstractNumId w:val="609"/>
  </w:num>
  <w:num w:numId="420" w16cid:durableId="135026824">
    <w:abstractNumId w:val="788"/>
  </w:num>
  <w:num w:numId="421" w16cid:durableId="687558800">
    <w:abstractNumId w:val="432"/>
  </w:num>
  <w:num w:numId="422" w16cid:durableId="1478257203">
    <w:abstractNumId w:val="521"/>
  </w:num>
  <w:num w:numId="423" w16cid:durableId="1755858945">
    <w:abstractNumId w:val="160"/>
  </w:num>
  <w:num w:numId="424" w16cid:durableId="418870151">
    <w:abstractNumId w:val="479"/>
  </w:num>
  <w:num w:numId="425" w16cid:durableId="1471745036">
    <w:abstractNumId w:val="302"/>
  </w:num>
  <w:num w:numId="426" w16cid:durableId="1358852517">
    <w:abstractNumId w:val="652"/>
  </w:num>
  <w:num w:numId="427" w16cid:durableId="467094316">
    <w:abstractNumId w:val="710"/>
  </w:num>
  <w:num w:numId="428" w16cid:durableId="330644128">
    <w:abstractNumId w:val="786"/>
  </w:num>
  <w:num w:numId="429" w16cid:durableId="1005744783">
    <w:abstractNumId w:val="817"/>
  </w:num>
  <w:num w:numId="430" w16cid:durableId="891573454">
    <w:abstractNumId w:val="429"/>
  </w:num>
  <w:num w:numId="431" w16cid:durableId="479660585">
    <w:abstractNumId w:val="648"/>
  </w:num>
  <w:num w:numId="432" w16cid:durableId="57939998">
    <w:abstractNumId w:val="779"/>
  </w:num>
  <w:num w:numId="433" w16cid:durableId="1840348433">
    <w:abstractNumId w:val="716"/>
  </w:num>
  <w:num w:numId="434" w16cid:durableId="1055738636">
    <w:abstractNumId w:val="152"/>
  </w:num>
  <w:num w:numId="435" w16cid:durableId="1213273520">
    <w:abstractNumId w:val="237"/>
  </w:num>
  <w:num w:numId="436" w16cid:durableId="614017512">
    <w:abstractNumId w:val="81"/>
  </w:num>
  <w:num w:numId="437" w16cid:durableId="1820147091">
    <w:abstractNumId w:val="927"/>
  </w:num>
  <w:num w:numId="438" w16cid:durableId="2112894459">
    <w:abstractNumId w:val="178"/>
  </w:num>
  <w:num w:numId="439" w16cid:durableId="341131866">
    <w:abstractNumId w:val="1009"/>
  </w:num>
  <w:num w:numId="440" w16cid:durableId="719019349">
    <w:abstractNumId w:val="101"/>
  </w:num>
  <w:num w:numId="441" w16cid:durableId="1558131142">
    <w:abstractNumId w:val="720"/>
  </w:num>
  <w:num w:numId="442" w16cid:durableId="881096831">
    <w:abstractNumId w:val="142"/>
  </w:num>
  <w:num w:numId="443" w16cid:durableId="17440114">
    <w:abstractNumId w:val="692"/>
  </w:num>
  <w:num w:numId="444" w16cid:durableId="1392651313">
    <w:abstractNumId w:val="10"/>
  </w:num>
  <w:num w:numId="445" w16cid:durableId="469128910">
    <w:abstractNumId w:val="436"/>
  </w:num>
  <w:num w:numId="446" w16cid:durableId="1903910086">
    <w:abstractNumId w:val="742"/>
  </w:num>
  <w:num w:numId="447" w16cid:durableId="1828128566">
    <w:abstractNumId w:val="894"/>
  </w:num>
  <w:num w:numId="448" w16cid:durableId="1478260771">
    <w:abstractNumId w:val="775"/>
  </w:num>
  <w:num w:numId="449" w16cid:durableId="765030875">
    <w:abstractNumId w:val="405"/>
  </w:num>
  <w:num w:numId="450" w16cid:durableId="576861868">
    <w:abstractNumId w:val="866"/>
  </w:num>
  <w:num w:numId="451" w16cid:durableId="788861617">
    <w:abstractNumId w:val="896"/>
  </w:num>
  <w:num w:numId="452" w16cid:durableId="1294872015">
    <w:abstractNumId w:val="505"/>
  </w:num>
  <w:num w:numId="453" w16cid:durableId="518547440">
    <w:abstractNumId w:val="343"/>
  </w:num>
  <w:num w:numId="454" w16cid:durableId="652565661">
    <w:abstractNumId w:val="552"/>
  </w:num>
  <w:num w:numId="455" w16cid:durableId="1154906227">
    <w:abstractNumId w:val="430"/>
  </w:num>
  <w:num w:numId="456" w16cid:durableId="434710037">
    <w:abstractNumId w:val="440"/>
  </w:num>
  <w:num w:numId="457" w16cid:durableId="872572154">
    <w:abstractNumId w:val="128"/>
  </w:num>
  <w:num w:numId="458" w16cid:durableId="522323300">
    <w:abstractNumId w:val="107"/>
  </w:num>
  <w:num w:numId="459" w16cid:durableId="213857887">
    <w:abstractNumId w:val="173"/>
  </w:num>
  <w:num w:numId="460" w16cid:durableId="651639162">
    <w:abstractNumId w:val="93"/>
  </w:num>
  <w:num w:numId="461" w16cid:durableId="1028409948">
    <w:abstractNumId w:val="892"/>
  </w:num>
  <w:num w:numId="462" w16cid:durableId="1724787224">
    <w:abstractNumId w:val="950"/>
  </w:num>
  <w:num w:numId="463" w16cid:durableId="76488645">
    <w:abstractNumId w:val="95"/>
  </w:num>
  <w:num w:numId="464" w16cid:durableId="2028561286">
    <w:abstractNumId w:val="434"/>
  </w:num>
  <w:num w:numId="465" w16cid:durableId="1258367534">
    <w:abstractNumId w:val="933"/>
  </w:num>
  <w:num w:numId="466" w16cid:durableId="1515921809">
    <w:abstractNumId w:val="230"/>
  </w:num>
  <w:num w:numId="467" w16cid:durableId="1884171882">
    <w:abstractNumId w:val="570"/>
  </w:num>
  <w:num w:numId="468" w16cid:durableId="1560290597">
    <w:abstractNumId w:val="645"/>
  </w:num>
  <w:num w:numId="469" w16cid:durableId="1101949954">
    <w:abstractNumId w:val="256"/>
  </w:num>
  <w:num w:numId="470" w16cid:durableId="1655647613">
    <w:abstractNumId w:val="310"/>
  </w:num>
  <w:num w:numId="471" w16cid:durableId="436411700">
    <w:abstractNumId w:val="992"/>
  </w:num>
  <w:num w:numId="472" w16cid:durableId="390928513">
    <w:abstractNumId w:val="340"/>
  </w:num>
  <w:num w:numId="473" w16cid:durableId="851837370">
    <w:abstractNumId w:val="1012"/>
  </w:num>
  <w:num w:numId="474" w16cid:durableId="2012103020">
    <w:abstractNumId w:val="876"/>
  </w:num>
  <w:num w:numId="475" w16cid:durableId="219367992">
    <w:abstractNumId w:val="888"/>
  </w:num>
  <w:num w:numId="476" w16cid:durableId="877350160">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370"/>
  </w:num>
  <w:num w:numId="478" w16cid:durableId="2071078013">
    <w:abstractNumId w:val="463"/>
  </w:num>
  <w:num w:numId="479" w16cid:durableId="405996736">
    <w:abstractNumId w:val="304"/>
  </w:num>
  <w:num w:numId="480" w16cid:durableId="1642155238">
    <w:abstractNumId w:val="181"/>
  </w:num>
  <w:num w:numId="481" w16cid:durableId="1413309136">
    <w:abstractNumId w:val="69"/>
  </w:num>
  <w:num w:numId="482" w16cid:durableId="976571691">
    <w:abstractNumId w:val="593"/>
  </w:num>
  <w:num w:numId="483" w16cid:durableId="733813620">
    <w:abstractNumId w:val="707"/>
  </w:num>
  <w:num w:numId="484" w16cid:durableId="1105609635">
    <w:abstractNumId w:val="517"/>
  </w:num>
  <w:num w:numId="485" w16cid:durableId="1987398406">
    <w:abstractNumId w:val="925"/>
  </w:num>
  <w:num w:numId="486" w16cid:durableId="1687753861">
    <w:abstractNumId w:val="213"/>
  </w:num>
  <w:num w:numId="487" w16cid:durableId="1672559508">
    <w:abstractNumId w:val="74"/>
  </w:num>
  <w:num w:numId="488" w16cid:durableId="1718121273">
    <w:abstractNumId w:val="655"/>
  </w:num>
  <w:num w:numId="489" w16cid:durableId="519900822">
    <w:abstractNumId w:val="948"/>
  </w:num>
  <w:num w:numId="490" w16cid:durableId="850602460">
    <w:abstractNumId w:val="904"/>
  </w:num>
  <w:num w:numId="491" w16cid:durableId="292908228">
    <w:abstractNumId w:val="556"/>
  </w:num>
  <w:num w:numId="492" w16cid:durableId="1923833589">
    <w:abstractNumId w:val="816"/>
  </w:num>
  <w:num w:numId="493" w16cid:durableId="603223414">
    <w:abstractNumId w:val="358"/>
  </w:num>
  <w:num w:numId="494" w16cid:durableId="1921669983">
    <w:abstractNumId w:val="585"/>
  </w:num>
  <w:num w:numId="495" w16cid:durableId="78138901">
    <w:abstractNumId w:val="151"/>
  </w:num>
  <w:num w:numId="496" w16cid:durableId="1336150392">
    <w:abstractNumId w:val="1007"/>
  </w:num>
  <w:num w:numId="497" w16cid:durableId="2088770528">
    <w:abstractNumId w:val="713"/>
  </w:num>
  <w:num w:numId="498" w16cid:durableId="149952613">
    <w:abstractNumId w:val="89"/>
  </w:num>
  <w:num w:numId="499" w16cid:durableId="496073718">
    <w:abstractNumId w:val="709"/>
  </w:num>
  <w:num w:numId="500" w16cid:durableId="1642880102">
    <w:abstractNumId w:val="334"/>
  </w:num>
  <w:num w:numId="501" w16cid:durableId="2080127658">
    <w:abstractNumId w:val="91"/>
  </w:num>
  <w:num w:numId="502" w16cid:durableId="1362121308">
    <w:abstractNumId w:val="58"/>
  </w:num>
  <w:num w:numId="503" w16cid:durableId="2030179636">
    <w:abstractNumId w:val="5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812"/>
  </w:num>
  <w:num w:numId="505" w16cid:durableId="451898722">
    <w:abstractNumId w:val="959"/>
  </w:num>
  <w:num w:numId="506" w16cid:durableId="1943799309">
    <w:abstractNumId w:val="471"/>
  </w:num>
  <w:num w:numId="507" w16cid:durableId="2006008425">
    <w:abstractNumId w:val="1011"/>
  </w:num>
  <w:num w:numId="508" w16cid:durableId="2139951819">
    <w:abstractNumId w:val="796"/>
  </w:num>
  <w:num w:numId="509" w16cid:durableId="383800106">
    <w:abstractNumId w:val="96"/>
  </w:num>
  <w:num w:numId="510" w16cid:durableId="951281625">
    <w:abstractNumId w:val="519"/>
  </w:num>
  <w:num w:numId="511" w16cid:durableId="1139807983">
    <w:abstractNumId w:val="898"/>
  </w:num>
  <w:num w:numId="512" w16cid:durableId="381296640">
    <w:abstractNumId w:val="654"/>
  </w:num>
  <w:num w:numId="513" w16cid:durableId="1771200472">
    <w:abstractNumId w:val="966"/>
  </w:num>
  <w:num w:numId="514" w16cid:durableId="528028960">
    <w:abstractNumId w:val="856"/>
  </w:num>
  <w:num w:numId="515" w16cid:durableId="261768329">
    <w:abstractNumId w:val="2"/>
  </w:num>
  <w:num w:numId="516" w16cid:durableId="283660506">
    <w:abstractNumId w:val="729"/>
  </w:num>
  <w:num w:numId="517" w16cid:durableId="1964576333">
    <w:abstractNumId w:val="274"/>
  </w:num>
  <w:num w:numId="518" w16cid:durableId="1247493201">
    <w:abstractNumId w:val="403"/>
  </w:num>
  <w:num w:numId="519" w16cid:durableId="537547240">
    <w:abstractNumId w:val="559"/>
  </w:num>
  <w:num w:numId="520" w16cid:durableId="871305922">
    <w:abstractNumId w:val="944"/>
  </w:num>
  <w:num w:numId="521" w16cid:durableId="1148862682">
    <w:abstractNumId w:val="886"/>
  </w:num>
  <w:num w:numId="522" w16cid:durableId="633802068">
    <w:abstractNumId w:val="125"/>
  </w:num>
  <w:num w:numId="523" w16cid:durableId="132598164">
    <w:abstractNumId w:val="690"/>
  </w:num>
  <w:num w:numId="524" w16cid:durableId="49770122">
    <w:abstractNumId w:val="131"/>
  </w:num>
  <w:num w:numId="525" w16cid:durableId="33387205">
    <w:abstractNumId w:val="776"/>
  </w:num>
  <w:num w:numId="526" w16cid:durableId="1287925835">
    <w:abstractNumId w:val="764"/>
  </w:num>
  <w:num w:numId="527" w16cid:durableId="1953708491">
    <w:abstractNumId w:val="129"/>
  </w:num>
  <w:num w:numId="528" w16cid:durableId="1633822821">
    <w:abstractNumId w:val="115"/>
  </w:num>
  <w:num w:numId="529" w16cid:durableId="1403525143">
    <w:abstractNumId w:val="350"/>
  </w:num>
  <w:num w:numId="530" w16cid:durableId="1339843444">
    <w:abstractNumId w:val="624"/>
  </w:num>
  <w:num w:numId="531" w16cid:durableId="942810285">
    <w:abstractNumId w:val="698"/>
  </w:num>
  <w:num w:numId="532" w16cid:durableId="754478965">
    <w:abstractNumId w:val="243"/>
  </w:num>
  <w:num w:numId="533" w16cid:durableId="922448039">
    <w:abstractNumId w:val="859"/>
  </w:num>
  <w:num w:numId="534" w16cid:durableId="2068381954">
    <w:abstractNumId w:val="756"/>
  </w:num>
  <w:num w:numId="535" w16cid:durableId="1638217000">
    <w:abstractNumId w:val="1"/>
  </w:num>
  <w:num w:numId="536" w16cid:durableId="128666058">
    <w:abstractNumId w:val="475"/>
  </w:num>
  <w:num w:numId="537" w16cid:durableId="125203454">
    <w:abstractNumId w:val="147"/>
  </w:num>
  <w:num w:numId="538" w16cid:durableId="861018058">
    <w:abstractNumId w:val="881"/>
  </w:num>
  <w:num w:numId="539" w16cid:durableId="1752921279">
    <w:abstractNumId w:val="238"/>
  </w:num>
  <w:num w:numId="540" w16cid:durableId="70583013">
    <w:abstractNumId w:val="977"/>
  </w:num>
  <w:num w:numId="541" w16cid:durableId="1106581146">
    <w:abstractNumId w:val="701"/>
  </w:num>
  <w:num w:numId="542" w16cid:durableId="1090732344">
    <w:abstractNumId w:val="937"/>
  </w:num>
  <w:num w:numId="543" w16cid:durableId="875044333">
    <w:abstractNumId w:val="78"/>
  </w:num>
  <w:num w:numId="544" w16cid:durableId="1110003725">
    <w:abstractNumId w:val="15"/>
  </w:num>
  <w:num w:numId="545" w16cid:durableId="959920143">
    <w:abstractNumId w:val="994"/>
  </w:num>
  <w:num w:numId="546" w16cid:durableId="1397358695">
    <w:abstractNumId w:val="903"/>
  </w:num>
  <w:num w:numId="547" w16cid:durableId="711340883">
    <w:abstractNumId w:val="631"/>
  </w:num>
  <w:num w:numId="548" w16cid:durableId="615866319">
    <w:abstractNumId w:val="220"/>
  </w:num>
  <w:num w:numId="549" w16cid:durableId="1433088982">
    <w:abstractNumId w:val="113"/>
  </w:num>
  <w:num w:numId="550" w16cid:durableId="1380084752">
    <w:abstractNumId w:val="572"/>
  </w:num>
  <w:num w:numId="551" w16cid:durableId="1664042457">
    <w:abstractNumId w:val="379"/>
  </w:num>
  <w:num w:numId="552" w16cid:durableId="1796219587">
    <w:abstractNumId w:val="464"/>
  </w:num>
  <w:num w:numId="553" w16cid:durableId="1094058848">
    <w:abstractNumId w:val="995"/>
  </w:num>
  <w:num w:numId="554" w16cid:durableId="1003359951">
    <w:abstractNumId w:val="605"/>
  </w:num>
  <w:num w:numId="555" w16cid:durableId="1119492504">
    <w:abstractNumId w:val="867"/>
  </w:num>
  <w:num w:numId="556" w16cid:durableId="574512301">
    <w:abstractNumId w:val="6"/>
  </w:num>
  <w:num w:numId="557" w16cid:durableId="1724910121">
    <w:abstractNumId w:val="76"/>
  </w:num>
  <w:num w:numId="558" w16cid:durableId="140392569">
    <w:abstractNumId w:val="14"/>
  </w:num>
  <w:num w:numId="559" w16cid:durableId="1199271323">
    <w:abstractNumId w:val="56"/>
  </w:num>
  <w:num w:numId="560" w16cid:durableId="771242374">
    <w:abstractNumId w:val="323"/>
  </w:num>
  <w:num w:numId="561" w16cid:durableId="40329794">
    <w:abstractNumId w:val="920"/>
  </w:num>
  <w:num w:numId="562" w16cid:durableId="1216040945">
    <w:abstractNumId w:val="461"/>
  </w:num>
  <w:num w:numId="563" w16cid:durableId="512107058">
    <w:abstractNumId w:val="313"/>
  </w:num>
  <w:num w:numId="564" w16cid:durableId="575167179">
    <w:abstractNumId w:val="190"/>
  </w:num>
  <w:num w:numId="565" w16cid:durableId="1502575643">
    <w:abstractNumId w:val="441"/>
  </w:num>
  <w:num w:numId="566" w16cid:durableId="1551914716">
    <w:abstractNumId w:val="996"/>
  </w:num>
  <w:num w:numId="567" w16cid:durableId="179200433">
    <w:abstractNumId w:val="215"/>
  </w:num>
  <w:num w:numId="568" w16cid:durableId="288052214">
    <w:abstractNumId w:val="675"/>
  </w:num>
  <w:num w:numId="569" w16cid:durableId="1384251772">
    <w:abstractNumId w:val="467"/>
  </w:num>
  <w:num w:numId="570" w16cid:durableId="831793754">
    <w:abstractNumId w:val="492"/>
  </w:num>
  <w:num w:numId="571" w16cid:durableId="1823349287">
    <w:abstractNumId w:val="838"/>
  </w:num>
  <w:num w:numId="572" w16cid:durableId="2017540158">
    <w:abstractNumId w:val="554"/>
  </w:num>
  <w:num w:numId="573" w16cid:durableId="1912887210">
    <w:abstractNumId w:val="376"/>
  </w:num>
  <w:num w:numId="574" w16cid:durableId="1480345518">
    <w:abstractNumId w:val="400"/>
  </w:num>
  <w:num w:numId="575" w16cid:durableId="575748318">
    <w:abstractNumId w:val="672"/>
  </w:num>
  <w:num w:numId="576" w16cid:durableId="1542404693">
    <w:abstractNumId w:val="382"/>
  </w:num>
  <w:num w:numId="577" w16cid:durableId="386035582">
    <w:abstractNumId w:val="646"/>
  </w:num>
  <w:num w:numId="578" w16cid:durableId="2056808413">
    <w:abstractNumId w:val="588"/>
  </w:num>
  <w:num w:numId="579" w16cid:durableId="1651522557">
    <w:abstractNumId w:val="733"/>
  </w:num>
  <w:num w:numId="580" w16cid:durableId="562912943">
    <w:abstractNumId w:val="397"/>
  </w:num>
  <w:num w:numId="581" w16cid:durableId="449325448">
    <w:abstractNumId w:val="882"/>
  </w:num>
  <w:num w:numId="582" w16cid:durableId="1865168553">
    <w:abstractNumId w:val="47"/>
  </w:num>
  <w:num w:numId="583" w16cid:durableId="823740830">
    <w:abstractNumId w:val="133"/>
  </w:num>
  <w:num w:numId="584" w16cid:durableId="2134203365">
    <w:abstractNumId w:val="734"/>
  </w:num>
  <w:num w:numId="585" w16cid:durableId="485436031">
    <w:abstractNumId w:val="248"/>
  </w:num>
  <w:num w:numId="586" w16cid:durableId="74908024">
    <w:abstractNumId w:val="864"/>
  </w:num>
  <w:num w:numId="587" w16cid:durableId="278686289">
    <w:abstractNumId w:val="731"/>
  </w:num>
  <w:num w:numId="588" w16cid:durableId="1873957098">
    <w:abstractNumId w:val="285"/>
  </w:num>
  <w:num w:numId="589" w16cid:durableId="1429503351">
    <w:abstractNumId w:val="956"/>
  </w:num>
  <w:num w:numId="590" w16cid:durableId="108404417">
    <w:abstractNumId w:val="5"/>
  </w:num>
  <w:num w:numId="591" w16cid:durableId="330105705">
    <w:abstractNumId w:val="482"/>
  </w:num>
  <w:num w:numId="592" w16cid:durableId="1994944006">
    <w:abstractNumId w:val="961"/>
  </w:num>
  <w:num w:numId="593" w16cid:durableId="707220362">
    <w:abstractNumId w:val="327"/>
  </w:num>
  <w:num w:numId="594" w16cid:durableId="168445744">
    <w:abstractNumId w:val="126"/>
  </w:num>
  <w:num w:numId="595" w16cid:durableId="1296444909">
    <w:abstractNumId w:val="671"/>
  </w:num>
  <w:num w:numId="596" w16cid:durableId="176236674">
    <w:abstractNumId w:val="794"/>
  </w:num>
  <w:num w:numId="597" w16cid:durableId="1324746893">
    <w:abstractNumId w:val="134"/>
  </w:num>
  <w:num w:numId="598" w16cid:durableId="1118719474">
    <w:abstractNumId w:val="40"/>
  </w:num>
  <w:num w:numId="599" w16cid:durableId="225991254">
    <w:abstractNumId w:val="90"/>
  </w:num>
  <w:num w:numId="600" w16cid:durableId="1806969033">
    <w:abstractNumId w:val="1022"/>
  </w:num>
  <w:num w:numId="601" w16cid:durableId="1542865201">
    <w:abstractNumId w:val="273"/>
  </w:num>
  <w:num w:numId="602" w16cid:durableId="823591320">
    <w:abstractNumId w:val="320"/>
  </w:num>
  <w:num w:numId="603" w16cid:durableId="1612083284">
    <w:abstractNumId w:val="721"/>
  </w:num>
  <w:num w:numId="604" w16cid:durableId="80613507">
    <w:abstractNumId w:val="453"/>
  </w:num>
  <w:num w:numId="605" w16cid:durableId="679433933">
    <w:abstractNumId w:val="354"/>
  </w:num>
  <w:num w:numId="606" w16cid:durableId="1068184379">
    <w:abstractNumId w:val="150"/>
  </w:num>
  <w:num w:numId="607" w16cid:durableId="442653447">
    <w:abstractNumId w:val="20"/>
  </w:num>
  <w:num w:numId="608" w16cid:durableId="1584299879">
    <w:abstractNumId w:val="330"/>
  </w:num>
  <w:num w:numId="609" w16cid:durableId="1921523604">
    <w:abstractNumId w:val="83"/>
  </w:num>
  <w:num w:numId="610" w16cid:durableId="887230075">
    <w:abstractNumId w:val="820"/>
  </w:num>
  <w:num w:numId="611" w16cid:durableId="696320551">
    <w:abstractNumId w:val="390"/>
  </w:num>
  <w:num w:numId="612" w16cid:durableId="1314139593">
    <w:abstractNumId w:val="696"/>
  </w:num>
  <w:num w:numId="613" w16cid:durableId="1032342766">
    <w:abstractNumId w:val="880"/>
  </w:num>
  <w:num w:numId="614" w16cid:durableId="384834264">
    <w:abstractNumId w:val="523"/>
  </w:num>
  <w:num w:numId="615" w16cid:durableId="24987762">
    <w:abstractNumId w:val="871"/>
  </w:num>
  <w:num w:numId="616" w16cid:durableId="170730701">
    <w:abstractNumId w:val="438"/>
  </w:num>
  <w:num w:numId="617" w16cid:durableId="331681343">
    <w:abstractNumId w:val="772"/>
  </w:num>
  <w:num w:numId="618" w16cid:durableId="869029749">
    <w:abstractNumId w:val="36"/>
  </w:num>
  <w:num w:numId="619" w16cid:durableId="1708530737">
    <w:abstractNumId w:val="384"/>
  </w:num>
  <w:num w:numId="620" w16cid:durableId="1287586187">
    <w:abstractNumId w:val="261"/>
  </w:num>
  <w:num w:numId="621" w16cid:durableId="1737586421">
    <w:abstractNumId w:val="289"/>
  </w:num>
  <w:num w:numId="622" w16cid:durableId="1426148774">
    <w:abstractNumId w:val="484"/>
  </w:num>
  <w:num w:numId="623" w16cid:durableId="836189719">
    <w:abstractNumId w:val="344"/>
  </w:num>
  <w:num w:numId="624" w16cid:durableId="952900932">
    <w:abstractNumId w:val="1003"/>
  </w:num>
  <w:num w:numId="625" w16cid:durableId="2017882029">
    <w:abstractNumId w:val="455"/>
  </w:num>
  <w:num w:numId="626" w16cid:durableId="451679290">
    <w:abstractNumId w:val="548"/>
  </w:num>
  <w:num w:numId="627" w16cid:durableId="711539106">
    <w:abstractNumId w:val="414"/>
  </w:num>
  <w:num w:numId="628" w16cid:durableId="1240093614">
    <w:abstractNumId w:val="169"/>
  </w:num>
  <w:num w:numId="629" w16cid:durableId="27797925">
    <w:abstractNumId w:val="356"/>
  </w:num>
  <w:num w:numId="630" w16cid:durableId="1678076099">
    <w:abstractNumId w:val="868"/>
  </w:num>
  <w:num w:numId="631" w16cid:durableId="1397433338">
    <w:abstractNumId w:val="407"/>
  </w:num>
  <w:num w:numId="632" w16cid:durableId="629286672">
    <w:abstractNumId w:val="883"/>
  </w:num>
  <w:num w:numId="633" w16cid:durableId="31157956">
    <w:abstractNumId w:val="413"/>
  </w:num>
  <w:num w:numId="634" w16cid:durableId="1459253885">
    <w:abstractNumId w:val="300"/>
  </w:num>
  <w:num w:numId="635" w16cid:durableId="961812504">
    <w:abstractNumId w:val="22"/>
  </w:num>
  <w:num w:numId="636" w16cid:durableId="965083578">
    <w:abstractNumId w:val="818"/>
  </w:num>
  <w:num w:numId="637" w16cid:durableId="1172986684">
    <w:abstractNumId w:val="486"/>
  </w:num>
  <w:num w:numId="638" w16cid:durableId="903371202">
    <w:abstractNumId w:val="303"/>
  </w:num>
  <w:num w:numId="639" w16cid:durableId="283316895">
    <w:abstractNumId w:val="952"/>
  </w:num>
  <w:num w:numId="640" w16cid:durableId="687878253">
    <w:abstractNumId w:val="377"/>
  </w:num>
  <w:num w:numId="641" w16cid:durableId="1768504881">
    <w:abstractNumId w:val="852"/>
  </w:num>
  <w:num w:numId="642" w16cid:durableId="696080282">
    <w:abstractNumId w:val="942"/>
  </w:num>
  <w:num w:numId="643" w16cid:durableId="126242520">
    <w:abstractNumId w:val="566"/>
  </w:num>
  <w:num w:numId="644" w16cid:durableId="1933005844">
    <w:abstractNumId w:val="762"/>
  </w:num>
  <w:num w:numId="645" w16cid:durableId="1218398506">
    <w:abstractNumId w:val="180"/>
  </w:num>
  <w:num w:numId="646" w16cid:durableId="1737894652">
    <w:abstractNumId w:val="22"/>
  </w:num>
  <w:num w:numId="647" w16cid:durableId="2043281675">
    <w:abstractNumId w:val="306"/>
  </w:num>
  <w:num w:numId="648" w16cid:durableId="1909147521">
    <w:abstractNumId w:val="22"/>
  </w:num>
  <w:num w:numId="649" w16cid:durableId="1160534579">
    <w:abstractNumId w:val="22"/>
  </w:num>
  <w:num w:numId="650" w16cid:durableId="678385548">
    <w:abstractNumId w:val="22"/>
  </w:num>
  <w:num w:numId="651" w16cid:durableId="36707010">
    <w:abstractNumId w:val="22"/>
  </w:num>
  <w:num w:numId="652" w16cid:durableId="431127453">
    <w:abstractNumId w:val="22"/>
  </w:num>
  <w:num w:numId="653" w16cid:durableId="1706981614">
    <w:abstractNumId w:val="22"/>
  </w:num>
  <w:num w:numId="654" w16cid:durableId="34931216">
    <w:abstractNumId w:val="22"/>
  </w:num>
  <w:num w:numId="655" w16cid:durableId="895625529">
    <w:abstractNumId w:val="22"/>
  </w:num>
  <w:num w:numId="656" w16cid:durableId="2115319693">
    <w:abstractNumId w:val="22"/>
  </w:num>
  <w:num w:numId="657" w16cid:durableId="688025029">
    <w:abstractNumId w:val="22"/>
  </w:num>
  <w:num w:numId="658" w16cid:durableId="1373730702">
    <w:abstractNumId w:val="22"/>
  </w:num>
  <w:num w:numId="659" w16cid:durableId="1381587602">
    <w:abstractNumId w:val="22"/>
  </w:num>
  <w:num w:numId="660" w16cid:durableId="808210110">
    <w:abstractNumId w:val="741"/>
  </w:num>
  <w:num w:numId="661" w16cid:durableId="347678691">
    <w:abstractNumId w:val="442"/>
  </w:num>
  <w:num w:numId="662" w16cid:durableId="1567229699">
    <w:abstractNumId w:val="465"/>
  </w:num>
  <w:num w:numId="663" w16cid:durableId="484666855">
    <w:abstractNumId w:val="431"/>
  </w:num>
  <w:num w:numId="664" w16cid:durableId="87624128">
    <w:abstractNumId w:val="711"/>
  </w:num>
  <w:num w:numId="665" w16cid:durableId="778379589">
    <w:abstractNumId w:val="862"/>
  </w:num>
  <w:num w:numId="666" w16cid:durableId="199319285">
    <w:abstractNumId w:val="787"/>
  </w:num>
  <w:num w:numId="667" w16cid:durableId="1333877310">
    <w:abstractNumId w:val="16"/>
  </w:num>
  <w:num w:numId="668" w16cid:durableId="1035497417">
    <w:abstractNumId w:val="281"/>
  </w:num>
  <w:num w:numId="669" w16cid:durableId="1199783661">
    <w:abstractNumId w:val="810"/>
  </w:num>
  <w:num w:numId="670" w16cid:durableId="1031609462">
    <w:abstractNumId w:val="331"/>
  </w:num>
  <w:num w:numId="671" w16cid:durableId="2017882758">
    <w:abstractNumId w:val="668"/>
  </w:num>
  <w:num w:numId="672" w16cid:durableId="1293947006">
    <w:abstractNumId w:val="633"/>
  </w:num>
  <w:num w:numId="673" w16cid:durableId="1930113890">
    <w:abstractNumId w:val="189"/>
  </w:num>
  <w:num w:numId="674" w16cid:durableId="569659582">
    <w:abstractNumId w:val="487"/>
  </w:num>
  <w:num w:numId="675" w16cid:durableId="65420498">
    <w:abstractNumId w:val="22"/>
  </w:num>
  <w:num w:numId="676" w16cid:durableId="730234074">
    <w:abstractNumId w:val="179"/>
  </w:num>
  <w:num w:numId="677" w16cid:durableId="1246376333">
    <w:abstractNumId w:val="22"/>
  </w:num>
  <w:num w:numId="678" w16cid:durableId="1397892823">
    <w:abstractNumId w:val="415"/>
  </w:num>
  <w:num w:numId="679" w16cid:durableId="1105266316">
    <w:abstractNumId w:val="192"/>
  </w:num>
  <w:num w:numId="680" w16cid:durableId="915171147">
    <w:abstractNumId w:val="830"/>
  </w:num>
  <w:num w:numId="681" w16cid:durableId="156657594">
    <w:abstractNumId w:val="795"/>
  </w:num>
  <w:num w:numId="682" w16cid:durableId="635917475">
    <w:abstractNumId w:val="383"/>
  </w:num>
  <w:num w:numId="683" w16cid:durableId="906693774">
    <w:abstractNumId w:val="232"/>
  </w:num>
  <w:num w:numId="684" w16cid:durableId="1160578595">
    <w:abstractNumId w:val="673"/>
  </w:num>
  <w:num w:numId="685" w16cid:durableId="1958171718">
    <w:abstractNumId w:val="897"/>
  </w:num>
  <w:num w:numId="686" w16cid:durableId="1692876359">
    <w:abstractNumId w:val="398"/>
  </w:num>
  <w:num w:numId="687" w16cid:durableId="862061383">
    <w:abstractNumId w:val="466"/>
  </w:num>
  <w:num w:numId="688" w16cid:durableId="1602301128">
    <w:abstractNumId w:val="680"/>
  </w:num>
  <w:num w:numId="689" w16cid:durableId="986129797">
    <w:abstractNumId w:val="806"/>
  </w:num>
  <w:num w:numId="690" w16cid:durableId="1627008090">
    <w:abstractNumId w:val="214"/>
  </w:num>
  <w:num w:numId="691" w16cid:durableId="759762948">
    <w:abstractNumId w:val="416"/>
  </w:num>
  <w:num w:numId="692" w16cid:durableId="783962114">
    <w:abstractNumId w:val="949"/>
  </w:num>
  <w:num w:numId="693" w16cid:durableId="291519671">
    <w:abstractNumId w:val="224"/>
  </w:num>
  <w:num w:numId="694" w16cid:durableId="928005940">
    <w:abstractNumId w:val="768"/>
  </w:num>
  <w:num w:numId="695" w16cid:durableId="1051929226">
    <w:abstractNumId w:val="978"/>
  </w:num>
  <w:num w:numId="696" w16cid:durableId="1964336943">
    <w:abstractNumId w:val="875"/>
  </w:num>
  <w:num w:numId="697" w16cid:durableId="1218708324">
    <w:abstractNumId w:val="511"/>
  </w:num>
  <w:num w:numId="698" w16cid:durableId="810904862">
    <w:abstractNumId w:val="389"/>
  </w:num>
  <w:num w:numId="699" w16cid:durableId="1943610360">
    <w:abstractNumId w:val="218"/>
  </w:num>
  <w:num w:numId="700" w16cid:durableId="372073458">
    <w:abstractNumId w:val="86"/>
  </w:num>
  <w:num w:numId="701" w16cid:durableId="270086855">
    <w:abstractNumId w:val="317"/>
  </w:num>
  <w:num w:numId="702" w16cid:durableId="1171331964">
    <w:abstractNumId w:val="381"/>
  </w:num>
  <w:num w:numId="703" w16cid:durableId="704913962">
    <w:abstractNumId w:val="272"/>
  </w:num>
  <w:num w:numId="704" w16cid:durableId="1650356679">
    <w:abstractNumId w:val="999"/>
  </w:num>
  <w:num w:numId="705" w16cid:durableId="821435451">
    <w:abstractNumId w:val="506"/>
  </w:num>
  <w:num w:numId="706" w16cid:durableId="939752865">
    <w:abstractNumId w:val="161"/>
  </w:num>
  <w:num w:numId="707" w16cid:durableId="1611545463">
    <w:abstractNumId w:val="754"/>
  </w:num>
  <w:num w:numId="708" w16cid:durableId="692920153">
    <w:abstractNumId w:val="907"/>
  </w:num>
  <w:num w:numId="709" w16cid:durableId="1242763658">
    <w:abstractNumId w:val="153"/>
  </w:num>
  <w:num w:numId="710" w16cid:durableId="305091193">
    <w:abstractNumId w:val="571"/>
  </w:num>
  <w:num w:numId="711" w16cid:durableId="846747616">
    <w:abstractNumId w:val="991"/>
  </w:num>
  <w:num w:numId="712" w16cid:durableId="2011250155">
    <w:abstractNumId w:val="305"/>
  </w:num>
  <w:num w:numId="713" w16cid:durableId="417219778">
    <w:abstractNumId w:val="18"/>
  </w:num>
  <w:num w:numId="714" w16cid:durableId="1679312658">
    <w:abstractNumId w:val="332"/>
  </w:num>
  <w:num w:numId="715" w16cid:durableId="1182207986">
    <w:abstractNumId w:val="250"/>
  </w:num>
  <w:num w:numId="716" w16cid:durableId="1641836625">
    <w:abstractNumId w:val="85"/>
  </w:num>
  <w:num w:numId="717" w16cid:durableId="322319678">
    <w:abstractNumId w:val="253"/>
  </w:num>
  <w:num w:numId="718" w16cid:durableId="1121612214">
    <w:abstractNumId w:val="290"/>
  </w:num>
  <w:num w:numId="719" w16cid:durableId="526021267">
    <w:abstractNumId w:val="765"/>
  </w:num>
  <w:num w:numId="720" w16cid:durableId="1276331716">
    <w:abstractNumId w:val="551"/>
  </w:num>
  <w:num w:numId="721" w16cid:durableId="75321656">
    <w:abstractNumId w:val="122"/>
  </w:num>
  <w:num w:numId="722" w16cid:durableId="597523419">
    <w:abstractNumId w:val="80"/>
  </w:num>
  <w:num w:numId="723" w16cid:durableId="1591769309">
    <w:abstractNumId w:val="752"/>
  </w:num>
  <w:num w:numId="724" w16cid:durableId="98185813">
    <w:abstractNumId w:val="258"/>
  </w:num>
  <w:num w:numId="725" w16cid:durableId="668291651">
    <w:abstractNumId w:val="269"/>
  </w:num>
  <w:num w:numId="726" w16cid:durableId="640384380">
    <w:abstractNumId w:val="512"/>
  </w:num>
  <w:num w:numId="727" w16cid:durableId="1572497471">
    <w:abstractNumId w:val="221"/>
  </w:num>
  <w:num w:numId="728" w16cid:durableId="2102137011">
    <w:abstractNumId w:val="666"/>
  </w:num>
  <w:num w:numId="729" w16cid:durableId="1558274585">
    <w:abstractNumId w:val="793"/>
  </w:num>
  <w:num w:numId="730" w16cid:durableId="477381172">
    <w:abstractNumId w:val="50"/>
  </w:num>
  <w:num w:numId="731" w16cid:durableId="1305549049">
    <w:abstractNumId w:val="116"/>
  </w:num>
  <w:num w:numId="732" w16cid:durableId="870652130">
    <w:abstractNumId w:val="325"/>
  </w:num>
  <w:num w:numId="733" w16cid:durableId="1307323243">
    <w:abstractNumId w:val="599"/>
  </w:num>
  <w:num w:numId="734" w16cid:durableId="1807696469">
    <w:abstractNumId w:val="228"/>
  </w:num>
  <w:num w:numId="735" w16cid:durableId="2111928278">
    <w:abstractNumId w:val="388"/>
  </w:num>
  <w:num w:numId="736" w16cid:durableId="390541546">
    <w:abstractNumId w:val="714"/>
  </w:num>
  <w:num w:numId="737" w16cid:durableId="1021317701">
    <w:abstractNumId w:val="784"/>
  </w:num>
  <w:num w:numId="738" w16cid:durableId="304235670">
    <w:abstractNumId w:val="749"/>
  </w:num>
  <w:num w:numId="739" w16cid:durableId="1848401198">
    <w:abstractNumId w:val="207"/>
  </w:num>
  <w:num w:numId="740" w16cid:durableId="2136831993">
    <w:abstractNumId w:val="452"/>
  </w:num>
  <w:num w:numId="741" w16cid:durableId="1411922707">
    <w:abstractNumId w:val="923"/>
  </w:num>
  <w:num w:numId="742" w16cid:durableId="352460709">
    <w:abstractNumId w:val="37"/>
  </w:num>
  <w:num w:numId="743" w16cid:durableId="920598304">
    <w:abstractNumId w:val="227"/>
  </w:num>
  <w:num w:numId="744" w16cid:durableId="2048722205">
    <w:abstractNumId w:val="677"/>
  </w:num>
  <w:num w:numId="745" w16cid:durableId="2020698365">
    <w:abstractNumId w:val="748"/>
  </w:num>
  <w:num w:numId="746" w16cid:durableId="144207225">
    <w:abstractNumId w:val="476"/>
  </w:num>
  <w:num w:numId="747" w16cid:durableId="411700644">
    <w:abstractNumId w:val="928"/>
  </w:num>
  <w:num w:numId="748" w16cid:durableId="1996258990">
    <w:abstractNumId w:val="336"/>
  </w:num>
  <w:num w:numId="749" w16cid:durableId="689330293">
    <w:abstractNumId w:val="17"/>
  </w:num>
  <w:num w:numId="750" w16cid:durableId="1536890111">
    <w:abstractNumId w:val="972"/>
  </w:num>
  <w:num w:numId="751" w16cid:durableId="785001998">
    <w:abstractNumId w:val="602"/>
  </w:num>
  <w:num w:numId="752" w16cid:durableId="2056847894">
    <w:abstractNumId w:val="49"/>
  </w:num>
  <w:num w:numId="753" w16cid:durableId="791552778">
    <w:abstractNumId w:val="82"/>
  </w:num>
  <w:num w:numId="754" w16cid:durableId="2016111754">
    <w:abstractNumId w:val="516"/>
  </w:num>
  <w:num w:numId="755" w16cid:durableId="1212226767">
    <w:abstractNumId w:val="594"/>
  </w:num>
  <w:num w:numId="756" w16cid:durableId="1605722599">
    <w:abstractNumId w:val="322"/>
  </w:num>
  <w:num w:numId="757" w16cid:durableId="1000237351">
    <w:abstractNumId w:val="35"/>
  </w:num>
  <w:num w:numId="758" w16cid:durableId="1517307990">
    <w:abstractNumId w:val="65"/>
  </w:num>
  <w:num w:numId="759" w16cid:durableId="1375303770">
    <w:abstractNumId w:val="57"/>
  </w:num>
  <w:num w:numId="760" w16cid:durableId="1911454618">
    <w:abstractNumId w:val="140"/>
  </w:num>
  <w:num w:numId="761" w16cid:durableId="459495238">
    <w:abstractNumId w:val="363"/>
  </w:num>
  <w:num w:numId="762" w16cid:durableId="1394158559">
    <w:abstractNumId w:val="174"/>
  </w:num>
  <w:num w:numId="763" w16cid:durableId="1013648043">
    <w:abstractNumId w:val="622"/>
  </w:num>
  <w:num w:numId="764" w16cid:durableId="1922525538">
    <w:abstractNumId w:val="960"/>
  </w:num>
  <w:num w:numId="765" w16cid:durableId="735858967">
    <w:abstractNumId w:val="780"/>
  </w:num>
  <w:num w:numId="766" w16cid:durableId="354699194">
    <w:abstractNumId w:val="686"/>
  </w:num>
  <w:num w:numId="767" w16cid:durableId="1917282524">
    <w:abstractNumId w:val="222"/>
  </w:num>
  <w:num w:numId="768" w16cid:durableId="2108117090">
    <w:abstractNumId w:val="577"/>
  </w:num>
  <w:num w:numId="769" w16cid:durableId="398018017">
    <w:abstractNumId w:val="73"/>
  </w:num>
  <w:num w:numId="770" w16cid:durableId="2082361914">
    <w:abstractNumId w:val="840"/>
  </w:num>
  <w:num w:numId="771" w16cid:durableId="1093090338">
    <w:abstractNumId w:val="805"/>
  </w:num>
  <w:num w:numId="772" w16cid:durableId="519396270">
    <w:abstractNumId w:val="284"/>
  </w:num>
  <w:num w:numId="773" w16cid:durableId="1619753141">
    <w:abstractNumId w:val="235"/>
  </w:num>
  <w:num w:numId="774" w16cid:durableId="413819192">
    <w:abstractNumId w:val="458"/>
  </w:num>
  <w:num w:numId="775" w16cid:durableId="1653289632">
    <w:abstractNumId w:val="708"/>
  </w:num>
  <w:num w:numId="776" w16cid:durableId="1587223857">
    <w:abstractNumId w:val="946"/>
  </w:num>
  <w:num w:numId="777" w16cid:durableId="321277809">
    <w:abstractNumId w:val="653"/>
  </w:num>
  <w:num w:numId="778" w16cid:durableId="1771971180">
    <w:abstractNumId w:val="532"/>
  </w:num>
  <w:num w:numId="779" w16cid:durableId="1356494899">
    <w:abstractNumId w:val="851"/>
  </w:num>
  <w:num w:numId="780" w16cid:durableId="177543551">
    <w:abstractNumId w:val="873"/>
  </w:num>
  <w:num w:numId="781" w16cid:durableId="1452826027">
    <w:abstractNumId w:val="608"/>
  </w:num>
  <w:num w:numId="782" w16cid:durableId="924533630">
    <w:abstractNumId w:val="447"/>
  </w:num>
  <w:num w:numId="783" w16cid:durableId="45104147">
    <w:abstractNumId w:val="678"/>
  </w:num>
  <w:num w:numId="784" w16cid:durableId="1493326514">
    <w:abstractNumId w:val="241"/>
  </w:num>
  <w:num w:numId="785" w16cid:durableId="987052885">
    <w:abstractNumId w:val="38"/>
  </w:num>
  <w:num w:numId="786" w16cid:durableId="2123455889">
    <w:abstractNumId w:val="225"/>
  </w:num>
  <w:num w:numId="787" w16cid:durableId="1029911845">
    <w:abstractNumId w:val="584"/>
  </w:num>
  <w:num w:numId="788" w16cid:durableId="428628191">
    <w:abstractNumId w:val="242"/>
  </w:num>
  <w:num w:numId="789" w16cid:durableId="1023483394">
    <w:abstractNumId w:val="474"/>
  </w:num>
  <w:num w:numId="790" w16cid:durableId="1999261326">
    <w:abstractNumId w:val="349"/>
  </w:num>
  <w:num w:numId="791" w16cid:durableId="1694575975">
    <w:abstractNumId w:val="722"/>
  </w:num>
  <w:num w:numId="792" w16cid:durableId="392703537">
    <w:abstractNumId w:val="874"/>
  </w:num>
  <w:num w:numId="793" w16cid:durableId="1478957914">
    <w:abstractNumId w:val="393"/>
  </w:num>
  <w:num w:numId="794" w16cid:durableId="297104607">
    <w:abstractNumId w:val="396"/>
  </w:num>
  <w:num w:numId="795" w16cid:durableId="1367489830">
    <w:abstractNumId w:val="968"/>
  </w:num>
  <w:num w:numId="796" w16cid:durableId="575478658">
    <w:abstractNumId w:val="164"/>
  </w:num>
  <w:num w:numId="797" w16cid:durableId="1912501513">
    <w:abstractNumId w:val="884"/>
  </w:num>
  <w:num w:numId="798" w16cid:durableId="1038090924">
    <w:abstractNumId w:val="738"/>
  </w:num>
  <w:num w:numId="799" w16cid:durableId="906300109">
    <w:abstractNumId w:val="623"/>
  </w:num>
  <w:num w:numId="800" w16cid:durableId="102699334">
    <w:abstractNumId w:val="496"/>
  </w:num>
  <w:num w:numId="801" w16cid:durableId="1510482605">
    <w:abstractNumId w:val="634"/>
  </w:num>
  <w:num w:numId="802" w16cid:durableId="2021737549">
    <w:abstractNumId w:val="924"/>
  </w:num>
  <w:num w:numId="803" w16cid:durableId="189803708">
    <w:abstractNumId w:val="143"/>
  </w:num>
  <w:num w:numId="804" w16cid:durableId="1565141107">
    <w:abstractNumId w:val="156"/>
  </w:num>
  <w:num w:numId="805" w16cid:durableId="1899898576">
    <w:abstractNumId w:val="316"/>
  </w:num>
  <w:num w:numId="806" w16cid:durableId="938294578">
    <w:abstractNumId w:val="549"/>
  </w:num>
  <w:num w:numId="807" w16cid:durableId="1618215795">
    <w:abstractNumId w:val="426"/>
  </w:num>
  <w:num w:numId="808" w16cid:durableId="2139760477">
    <w:abstractNumId w:val="744"/>
  </w:num>
  <w:num w:numId="809" w16cid:durableId="1249147708">
    <w:abstractNumId w:val="586"/>
  </w:num>
  <w:num w:numId="810" w16cid:durableId="54013743">
    <w:abstractNumId w:val="478"/>
  </w:num>
  <w:num w:numId="811" w16cid:durableId="1502160722">
    <w:abstractNumId w:val="688"/>
  </w:num>
  <w:num w:numId="812" w16cid:durableId="817572380">
    <w:abstractNumId w:val="70"/>
  </w:num>
  <w:num w:numId="813" w16cid:durableId="481851331">
    <w:abstractNumId w:val="283"/>
  </w:num>
  <w:num w:numId="814" w16cid:durableId="1186290017">
    <w:abstractNumId w:val="72"/>
  </w:num>
  <w:num w:numId="815" w16cid:durableId="486289702">
    <w:abstractNumId w:val="295"/>
  </w:num>
  <w:num w:numId="816" w16cid:durableId="1146899548">
    <w:abstractNumId w:val="718"/>
  </w:num>
  <w:num w:numId="817" w16cid:durableId="553857437">
    <w:abstractNumId w:val="953"/>
  </w:num>
  <w:num w:numId="818" w16cid:durableId="498666183">
    <w:abstractNumId w:val="938"/>
  </w:num>
  <w:num w:numId="819" w16cid:durableId="599677759">
    <w:abstractNumId w:val="328"/>
  </w:num>
  <w:num w:numId="820" w16cid:durableId="1168011107">
    <w:abstractNumId w:val="569"/>
  </w:num>
  <w:num w:numId="821" w16cid:durableId="1008365856">
    <w:abstractNumId w:val="410"/>
  </w:num>
  <w:num w:numId="822" w16cid:durableId="1712682720">
    <w:abstractNumId w:val="640"/>
  </w:num>
  <w:num w:numId="823" w16cid:durableId="1161391992">
    <w:abstractNumId w:val="196"/>
  </w:num>
  <w:num w:numId="824" w16cid:durableId="1506435783">
    <w:abstractNumId w:val="783"/>
  </w:num>
  <w:num w:numId="825" w16cid:durableId="1873571029">
    <w:abstractNumId w:val="547"/>
  </w:num>
  <w:num w:numId="826" w16cid:durableId="2079787411">
    <w:abstractNumId w:val="514"/>
  </w:num>
  <w:num w:numId="827" w16cid:durableId="497307855">
    <w:abstractNumId w:val="100"/>
  </w:num>
  <w:num w:numId="828" w16cid:durableId="869609723">
    <w:abstractNumId w:val="233"/>
  </w:num>
  <w:num w:numId="829" w16cid:durableId="2080322656">
    <w:abstractNumId w:val="77"/>
  </w:num>
  <w:num w:numId="830" w16cid:durableId="822967901">
    <w:abstractNumId w:val="419"/>
  </w:num>
  <w:num w:numId="831" w16cid:durableId="1436363684">
    <w:abstractNumId w:val="650"/>
  </w:num>
  <w:num w:numId="832" w16cid:durableId="2058434978">
    <w:abstractNumId w:val="758"/>
  </w:num>
  <w:num w:numId="833" w16cid:durableId="965312488">
    <w:abstractNumId w:val="217"/>
  </w:num>
  <w:num w:numId="834" w16cid:durableId="1631126652">
    <w:abstractNumId w:val="203"/>
  </w:num>
  <w:num w:numId="835" w16cid:durableId="417530796">
    <w:abstractNumId w:val="931"/>
  </w:num>
  <w:num w:numId="836" w16cid:durableId="742722394">
    <w:abstractNumId w:val="617"/>
  </w:num>
  <w:num w:numId="837" w16cid:durableId="1968008871">
    <w:abstractNumId w:val="689"/>
  </w:num>
  <w:num w:numId="838" w16cid:durableId="1768386906">
    <w:abstractNumId w:val="499"/>
  </w:num>
  <w:num w:numId="839" w16cid:durableId="1574001924">
    <w:abstractNumId w:val="292"/>
  </w:num>
  <w:num w:numId="840" w16cid:durableId="751898792">
    <w:abstractNumId w:val="604"/>
  </w:num>
  <w:num w:numId="841" w16cid:durableId="1620139780">
    <w:abstractNumId w:val="29"/>
  </w:num>
  <w:num w:numId="842" w16cid:durableId="2019110743">
    <w:abstractNumId w:val="114"/>
  </w:num>
  <w:num w:numId="843" w16cid:durableId="896747468">
    <w:abstractNumId w:val="803"/>
  </w:num>
  <w:num w:numId="844" w16cid:durableId="2038194151">
    <w:abstractNumId w:val="98"/>
  </w:num>
  <w:num w:numId="845" w16cid:durableId="1370182791">
    <w:abstractNumId w:val="371"/>
  </w:num>
  <w:num w:numId="846" w16cid:durableId="1588929195">
    <w:abstractNumId w:val="255"/>
  </w:num>
  <w:num w:numId="847" w16cid:durableId="1337807096">
    <w:abstractNumId w:val="535"/>
  </w:num>
  <w:num w:numId="848" w16cid:durableId="221332121">
    <w:abstractNumId w:val="728"/>
  </w:num>
  <w:num w:numId="849" w16cid:durableId="1047686934">
    <w:abstractNumId w:val="508"/>
  </w:num>
  <w:num w:numId="850" w16cid:durableId="1347250385">
    <w:abstractNumId w:val="850"/>
  </w:num>
  <w:num w:numId="851" w16cid:durableId="1201938810">
    <w:abstractNumId w:val="984"/>
  </w:num>
  <w:num w:numId="852" w16cid:durableId="616448692">
    <w:abstractNumId w:val="725"/>
  </w:num>
  <w:num w:numId="853" w16cid:durableId="1205173645">
    <w:abstractNumId w:val="370"/>
    <w:lvlOverride w:ilvl="0">
      <w:startOverride w:val="1"/>
    </w:lvlOverride>
  </w:num>
  <w:num w:numId="854" w16cid:durableId="922296597">
    <w:abstractNumId w:val="439"/>
  </w:num>
  <w:num w:numId="855" w16cid:durableId="1306279369">
    <w:abstractNumId w:val="437"/>
  </w:num>
  <w:num w:numId="856" w16cid:durableId="2056541942">
    <w:abstractNumId w:val="362"/>
  </w:num>
  <w:num w:numId="857" w16cid:durableId="260378610">
    <w:abstractNumId w:val="737"/>
  </w:num>
  <w:num w:numId="858" w16cid:durableId="1200435856">
    <w:abstractNumId w:val="135"/>
  </w:num>
  <w:num w:numId="859" w16cid:durableId="606623040">
    <w:abstractNumId w:val="993"/>
  </w:num>
  <w:num w:numId="860" w16cid:durableId="170798326">
    <w:abstractNumId w:val="935"/>
  </w:num>
  <w:num w:numId="861" w16cid:durableId="449935213">
    <w:abstractNumId w:val="39"/>
  </w:num>
  <w:num w:numId="862" w16cid:durableId="1377007312">
    <w:abstractNumId w:val="497"/>
  </w:num>
  <w:num w:numId="863" w16cid:durableId="1859347887">
    <w:abstractNumId w:val="184"/>
  </w:num>
  <w:num w:numId="864" w16cid:durableId="671185229">
    <w:abstractNumId w:val="110"/>
  </w:num>
  <w:num w:numId="865" w16cid:durableId="1543863824">
    <w:abstractNumId w:val="791"/>
  </w:num>
  <w:num w:numId="866" w16cid:durableId="1585188290">
    <w:abstractNumId w:val="982"/>
  </w:num>
  <w:num w:numId="867" w16cid:durableId="727799566">
    <w:abstractNumId w:val="813"/>
  </w:num>
  <w:num w:numId="868" w16cid:durableId="1874733333">
    <w:abstractNumId w:val="781"/>
  </w:num>
  <w:num w:numId="869" w16cid:durableId="521744237">
    <w:abstractNumId w:val="745"/>
  </w:num>
  <w:num w:numId="870" w16cid:durableId="252054444">
    <w:abstractNumId w:val="201"/>
  </w:num>
  <w:num w:numId="871" w16cid:durableId="1706170863">
    <w:abstractNumId w:val="910"/>
  </w:num>
  <w:num w:numId="872" w16cid:durableId="2124154857">
    <w:abstractNumId w:val="906"/>
  </w:num>
  <w:num w:numId="873" w16cid:durableId="208957838">
    <w:abstractNumId w:val="286"/>
  </w:num>
  <w:num w:numId="874" w16cid:durableId="2081560138">
    <w:abstractNumId w:val="41"/>
  </w:num>
  <w:num w:numId="875" w16cid:durableId="1520704098">
    <w:abstractNumId w:val="833"/>
  </w:num>
  <w:num w:numId="876" w16cid:durableId="203640022">
    <w:abstractNumId w:val="462"/>
  </w:num>
  <w:num w:numId="877" w16cid:durableId="1559852154">
    <w:abstractNumId w:val="277"/>
  </w:num>
  <w:num w:numId="878" w16cid:durableId="336426481">
    <w:abstractNumId w:val="351"/>
  </w:num>
  <w:num w:numId="879" w16cid:durableId="2011828548">
    <w:abstractNumId w:val="395"/>
  </w:num>
  <w:num w:numId="880" w16cid:durableId="642660899">
    <w:abstractNumId w:val="598"/>
  </w:num>
  <w:num w:numId="881" w16cid:durableId="1981878125">
    <w:abstractNumId w:val="446"/>
  </w:num>
  <w:num w:numId="882" w16cid:durableId="835151814">
    <w:abstractNumId w:val="278"/>
  </w:num>
  <w:num w:numId="883" w16cid:durableId="108859928">
    <w:abstractNumId w:val="679"/>
  </w:num>
  <w:num w:numId="884" w16cid:durableId="1358313604">
    <w:abstractNumId w:val="112"/>
  </w:num>
  <w:num w:numId="885" w16cid:durableId="1287201482">
    <w:abstractNumId w:val="724"/>
  </w:num>
  <w:num w:numId="886" w16cid:durableId="356346639">
    <w:abstractNumId w:val="280"/>
  </w:num>
  <w:num w:numId="887" w16cid:durableId="2074083420">
    <w:abstractNumId w:val="424"/>
  </w:num>
  <w:num w:numId="888" w16cid:durableId="464352464">
    <w:abstractNumId w:val="132"/>
  </w:num>
  <w:num w:numId="889" w16cid:durableId="313294539">
    <w:abstractNumId w:val="267"/>
  </w:num>
  <w:num w:numId="890" w16cid:durableId="1847013554">
    <w:abstractNumId w:val="68"/>
  </w:num>
  <w:num w:numId="891" w16cid:durableId="947926404">
    <w:abstractNumId w:val="574"/>
  </w:num>
  <w:num w:numId="892" w16cid:durableId="94181434">
    <w:abstractNumId w:val="287"/>
  </w:num>
  <w:num w:numId="893" w16cid:durableId="732503132">
    <w:abstractNumId w:val="32"/>
  </w:num>
  <w:num w:numId="894" w16cid:durableId="1379477704">
    <w:abstractNumId w:val="879"/>
  </w:num>
  <w:num w:numId="895" w16cid:durableId="619411775">
    <w:abstractNumId w:val="55"/>
  </w:num>
  <w:num w:numId="896" w16cid:durableId="1033263110">
    <w:abstractNumId w:val="730"/>
  </w:num>
  <w:num w:numId="897" w16cid:durableId="463038816">
    <w:abstractNumId w:val="268"/>
  </w:num>
  <w:num w:numId="898" w16cid:durableId="1763648599">
    <w:abstractNumId w:val="630"/>
  </w:num>
  <w:num w:numId="899" w16cid:durableId="549607632">
    <w:abstractNumId w:val="908"/>
  </w:num>
  <w:num w:numId="900" w16cid:durableId="1035351576">
    <w:abstractNumId w:val="282"/>
  </w:num>
  <w:num w:numId="901" w16cid:durableId="374937898">
    <w:abstractNumId w:val="635"/>
  </w:num>
  <w:num w:numId="902" w16cid:durableId="513038611">
    <w:abstractNumId w:val="182"/>
  </w:num>
  <w:num w:numId="903" w16cid:durableId="920874594">
    <w:abstractNumId w:val="75"/>
  </w:num>
  <w:num w:numId="904" w16cid:durableId="1062797865">
    <w:abstractNumId w:val="435"/>
  </w:num>
  <w:num w:numId="905" w16cid:durableId="1081022380">
    <w:abstractNumId w:val="489"/>
  </w:num>
  <w:num w:numId="906" w16cid:durableId="1598176211">
    <w:abstractNumId w:val="127"/>
  </w:num>
  <w:num w:numId="907" w16cid:durableId="361129912">
    <w:abstractNumId w:val="159"/>
  </w:num>
  <w:num w:numId="908" w16cid:durableId="391318684">
    <w:abstractNumId w:val="618"/>
  </w:num>
  <w:num w:numId="909" w16cid:durableId="559631513">
    <w:abstractNumId w:val="664"/>
  </w:num>
  <w:num w:numId="910" w16cid:durableId="2103410553">
    <w:abstractNumId w:val="739"/>
  </w:num>
  <w:num w:numId="911" w16cid:durableId="1268997871">
    <w:abstractNumId w:val="847"/>
  </w:num>
  <w:num w:numId="912" w16cid:durableId="239599887">
    <w:abstractNumId w:val="945"/>
  </w:num>
  <w:num w:numId="913" w16cid:durableId="1009143934">
    <w:abstractNumId w:val="4"/>
  </w:num>
  <w:num w:numId="914" w16cid:durableId="448743781">
    <w:abstractNumId w:val="365"/>
  </w:num>
  <w:num w:numId="915" w16cid:durableId="2099520879">
    <w:abstractNumId w:val="541"/>
  </w:num>
  <w:num w:numId="916" w16cid:durableId="1026444625">
    <w:abstractNumId w:val="872"/>
  </w:num>
  <w:num w:numId="917" w16cid:durableId="598949787">
    <w:abstractNumId w:val="124"/>
  </w:num>
  <w:num w:numId="918" w16cid:durableId="1768110385">
    <w:abstractNumId w:val="581"/>
  </w:num>
  <w:num w:numId="919" w16cid:durableId="1584951156">
    <w:abstractNumId w:val="865"/>
  </w:num>
  <w:num w:numId="920" w16cid:durableId="94400534">
    <w:abstractNumId w:val="263"/>
  </w:num>
  <w:num w:numId="921" w16cid:durableId="2122844060">
    <w:abstractNumId w:val="294"/>
  </w:num>
  <w:num w:numId="922" w16cid:durableId="25253575">
    <w:abstractNumId w:val="296"/>
  </w:num>
  <w:num w:numId="923" w16cid:durableId="460727905">
    <w:abstractNumId w:val="119"/>
  </w:num>
  <w:num w:numId="924" w16cid:durableId="894707096">
    <w:abstractNumId w:val="391"/>
  </w:num>
  <w:num w:numId="925" w16cid:durableId="699669611">
    <w:abstractNumId w:val="187"/>
  </w:num>
  <w:num w:numId="926" w16cid:durableId="943070744">
    <w:abstractNumId w:val="824"/>
  </w:num>
  <w:num w:numId="927" w16cid:durableId="1418017827">
    <w:abstractNumId w:val="490"/>
  </w:num>
  <w:num w:numId="928" w16cid:durableId="175779218">
    <w:abstractNumId w:val="420"/>
  </w:num>
  <w:num w:numId="929" w16cid:durableId="526530222">
    <w:abstractNumId w:val="939"/>
  </w:num>
  <w:num w:numId="930" w16cid:durableId="2076395824">
    <w:abstractNumId w:val="834"/>
  </w:num>
  <w:num w:numId="931" w16cid:durableId="1413311940">
    <w:abstractNumId w:val="265"/>
  </w:num>
  <w:num w:numId="932" w16cid:durableId="362946375">
    <w:abstractNumId w:val="712"/>
  </w:num>
  <w:num w:numId="933" w16cid:durableId="532839637">
    <w:abstractNumId w:val="911"/>
  </w:num>
  <w:num w:numId="934" w16cid:durableId="1613631627">
    <w:abstractNumId w:val="774"/>
  </w:num>
  <w:num w:numId="935" w16cid:durableId="1619071091">
    <w:abstractNumId w:val="364"/>
  </w:num>
  <w:num w:numId="936" w16cid:durableId="761339359">
    <w:abstractNumId w:val="580"/>
  </w:num>
  <w:num w:numId="937" w16cid:durableId="2116633309">
    <w:abstractNumId w:val="1013"/>
  </w:num>
  <w:num w:numId="938" w16cid:durableId="1223367143">
    <w:abstractNumId w:val="402"/>
  </w:num>
  <w:num w:numId="939" w16cid:durableId="1581327180">
    <w:abstractNumId w:val="607"/>
  </w:num>
  <w:num w:numId="940" w16cid:durableId="417872692">
    <w:abstractNumId w:val="916"/>
  </w:num>
  <w:num w:numId="941" w16cid:durableId="116418126">
    <w:abstractNumId w:val="309"/>
  </w:num>
  <w:num w:numId="942" w16cid:durableId="1339842147">
    <w:abstractNumId w:val="597"/>
  </w:num>
  <w:num w:numId="943" w16cid:durableId="117719700">
    <w:abstractNumId w:val="457"/>
  </w:num>
  <w:num w:numId="944" w16cid:durableId="917329292">
    <w:abstractNumId w:val="595"/>
  </w:num>
  <w:num w:numId="945" w16cid:durableId="248270009">
    <w:abstractNumId w:val="705"/>
  </w:num>
  <w:num w:numId="946" w16cid:durableId="1116951422">
    <w:abstractNumId w:val="375"/>
  </w:num>
  <w:num w:numId="947" w16cid:durableId="1827165108">
    <w:abstractNumId w:val="717"/>
  </w:num>
  <w:num w:numId="948" w16cid:durableId="897664369">
    <w:abstractNumId w:val="1014"/>
  </w:num>
  <w:num w:numId="949" w16cid:durableId="761803475">
    <w:abstractNumId w:val="48"/>
  </w:num>
  <w:num w:numId="950" w16cid:durableId="1695106926">
    <w:abstractNumId w:val="109"/>
  </w:num>
  <w:num w:numId="951" w16cid:durableId="1509246995">
    <w:abstractNumId w:val="979"/>
  </w:num>
  <w:num w:numId="952" w16cid:durableId="1841895011">
    <w:abstractNumId w:val="54"/>
  </w:num>
  <w:num w:numId="953" w16cid:durableId="1424646141">
    <w:abstractNumId w:val="97"/>
  </w:num>
  <w:num w:numId="954" w16cid:durableId="236402689">
    <w:abstractNumId w:val="168"/>
  </w:num>
  <w:num w:numId="955" w16cid:durableId="118376079">
    <w:abstractNumId w:val="546"/>
  </w:num>
  <w:num w:numId="956" w16cid:durableId="13851991">
    <w:abstractNumId w:val="205"/>
  </w:num>
  <w:num w:numId="957" w16cid:durableId="1864241500">
    <w:abstractNumId w:val="191"/>
  </w:num>
  <w:num w:numId="958" w16cid:durableId="189804790">
    <w:abstractNumId w:val="470"/>
  </w:num>
  <w:num w:numId="959" w16cid:durableId="1845322957">
    <w:abstractNumId w:val="312"/>
  </w:num>
  <w:num w:numId="960" w16cid:durableId="1824882590">
    <w:abstractNumId w:val="200"/>
  </w:num>
  <w:num w:numId="961" w16cid:durableId="92751219">
    <w:abstractNumId w:val="543"/>
  </w:num>
  <w:num w:numId="962" w16cid:durableId="902332123">
    <w:abstractNumId w:val="802"/>
  </w:num>
  <w:num w:numId="963" w16cid:durableId="1977753325">
    <w:abstractNumId w:val="392"/>
  </w:num>
  <w:num w:numId="964" w16cid:durableId="1836796095">
    <w:abstractNumId w:val="338"/>
  </w:num>
  <w:num w:numId="965" w16cid:durableId="529534202">
    <w:abstractNumId w:val="22"/>
  </w:num>
  <w:num w:numId="966" w16cid:durableId="746222483">
    <w:abstractNumId w:val="22"/>
  </w:num>
  <w:num w:numId="967" w16cid:durableId="705757914">
    <w:abstractNumId w:val="808"/>
  </w:num>
  <w:num w:numId="968" w16cid:durableId="605963514">
    <w:abstractNumId w:val="778"/>
  </w:num>
  <w:num w:numId="969" w16cid:durableId="1597590487">
    <w:abstractNumId w:val="360"/>
  </w:num>
  <w:num w:numId="970" w16cid:durableId="1675109334">
    <w:abstractNumId w:val="891"/>
  </w:num>
  <w:num w:numId="971" w16cid:durableId="522862052">
    <w:abstractNumId w:val="473"/>
  </w:num>
  <w:num w:numId="972" w16cid:durableId="1650791279">
    <w:abstractNumId w:val="792"/>
  </w:num>
  <w:num w:numId="973" w16cid:durableId="1482622314">
    <w:abstractNumId w:val="964"/>
  </w:num>
  <w:num w:numId="974" w16cid:durableId="858618090">
    <w:abstractNumId w:val="84"/>
  </w:num>
  <w:num w:numId="975" w16cid:durableId="1431505323">
    <w:abstractNumId w:val="193"/>
  </w:num>
  <w:num w:numId="976" w16cid:durableId="1771462237">
    <w:abstractNumId w:val="753"/>
  </w:num>
  <w:num w:numId="977" w16cid:durableId="888758930">
    <w:abstractNumId w:val="626"/>
  </w:num>
  <w:num w:numId="978" w16cid:durableId="819157294">
    <w:abstractNumId w:val="545"/>
  </w:num>
  <w:num w:numId="979" w16cid:durableId="582187069">
    <w:abstractNumId w:val="1019"/>
  </w:num>
  <w:num w:numId="980" w16cid:durableId="297734833">
    <w:abstractNumId w:val="723"/>
  </w:num>
  <w:num w:numId="981" w16cid:durableId="510919946">
    <w:abstractNumId w:val="231"/>
  </w:num>
  <w:num w:numId="982" w16cid:durableId="813373914">
    <w:abstractNumId w:val="251"/>
  </w:num>
  <w:num w:numId="983" w16cid:durableId="622275150">
    <w:abstractNumId w:val="451"/>
  </w:num>
  <w:num w:numId="984" w16cid:durableId="1483230544">
    <w:abstractNumId w:val="498"/>
  </w:num>
  <w:num w:numId="985" w16cid:durableId="898901722">
    <w:abstractNumId w:val="321"/>
  </w:num>
  <w:num w:numId="986" w16cid:durableId="555047903">
    <w:abstractNumId w:val="298"/>
  </w:num>
  <w:num w:numId="987" w16cid:durableId="446631597">
    <w:abstractNumId w:val="33"/>
  </w:num>
  <w:num w:numId="988" w16cid:durableId="1039207565">
    <w:abstractNumId w:val="869"/>
  </w:num>
  <w:num w:numId="989" w16cid:durableId="2034841419">
    <w:abstractNumId w:val="974"/>
  </w:num>
  <w:num w:numId="990" w16cid:durableId="2008630831">
    <w:abstractNumId w:val="239"/>
  </w:num>
  <w:num w:numId="991" w16cid:durableId="1803496480">
    <w:abstractNumId w:val="963"/>
  </w:num>
  <w:num w:numId="992" w16cid:durableId="1765875169">
    <w:abstractNumId w:val="307"/>
  </w:num>
  <w:num w:numId="993" w16cid:durableId="166947481">
    <w:abstractNumId w:val="531"/>
  </w:num>
  <w:num w:numId="994" w16cid:durableId="725765282">
    <w:abstractNumId w:val="247"/>
  </w:num>
  <w:num w:numId="995" w16cid:durableId="190916985">
    <w:abstractNumId w:val="719"/>
  </w:num>
  <w:num w:numId="996" w16cid:durableId="431122320">
    <w:abstractNumId w:val="658"/>
  </w:num>
  <w:num w:numId="997" w16cid:durableId="571620454">
    <w:abstractNumId w:val="670"/>
  </w:num>
  <w:num w:numId="998" w16cid:durableId="1464081253">
    <w:abstractNumId w:val="291"/>
  </w:num>
  <w:num w:numId="999" w16cid:durableId="941954916">
    <w:abstractNumId w:val="43"/>
  </w:num>
  <w:num w:numId="1000" w16cid:durableId="1060596958">
    <w:abstractNumId w:val="819"/>
  </w:num>
  <w:num w:numId="1001" w16cid:durableId="1766151456">
    <w:abstractNumId w:val="823"/>
  </w:num>
  <w:num w:numId="1002" w16cid:durableId="1801611521">
    <w:abstractNumId w:val="170"/>
  </w:num>
  <w:num w:numId="1003" w16cid:durableId="380252619">
    <w:abstractNumId w:val="448"/>
  </w:num>
  <w:num w:numId="1004" w16cid:durableId="62147863">
    <w:abstractNumId w:val="777"/>
  </w:num>
  <w:num w:numId="1005" w16cid:durableId="342245683">
    <w:abstractNumId w:val="890"/>
  </w:num>
  <w:num w:numId="1006" w16cid:durableId="1671449911">
    <w:abstractNumId w:val="695"/>
  </w:num>
  <w:num w:numId="1007" w16cid:durableId="2109038877">
    <w:abstractNumId w:val="760"/>
  </w:num>
  <w:num w:numId="1008" w16cid:durableId="1478911321">
    <w:abstractNumId w:val="576"/>
  </w:num>
  <w:num w:numId="1009" w16cid:durableId="2120949828">
    <w:abstractNumId w:val="3"/>
  </w:num>
  <w:num w:numId="1010" w16cid:durableId="204342349">
    <w:abstractNumId w:val="943"/>
  </w:num>
  <w:num w:numId="1011" w16cid:durableId="1599752577">
    <w:abstractNumId w:val="625"/>
  </w:num>
  <w:num w:numId="1012" w16cid:durableId="649867396">
    <w:abstractNumId w:val="702"/>
  </w:num>
  <w:num w:numId="1013" w16cid:durableId="1975139458">
    <w:abstractNumId w:val="747"/>
  </w:num>
  <w:num w:numId="1014" w16cid:durableId="114761260">
    <w:abstractNumId w:val="660"/>
  </w:num>
  <w:num w:numId="1015" w16cid:durableId="233976819">
    <w:abstractNumId w:val="329"/>
  </w:num>
  <w:num w:numId="1016" w16cid:durableId="142091706">
    <w:abstractNumId w:val="601"/>
  </w:num>
  <w:num w:numId="1017" w16cid:durableId="650450883">
    <w:abstractNumId w:val="527"/>
  </w:num>
  <w:num w:numId="1018" w16cid:durableId="1092816191">
    <w:abstractNumId w:val="51"/>
  </w:num>
  <w:num w:numId="1019" w16cid:durableId="842627552">
    <w:abstractNumId w:val="88"/>
  </w:num>
  <w:num w:numId="1020" w16cid:durableId="1538202309">
    <w:abstractNumId w:val="145"/>
  </w:num>
  <w:num w:numId="1021" w16cid:durableId="1147088077">
    <w:abstractNumId w:val="507"/>
  </w:num>
  <w:num w:numId="1022" w16cid:durableId="637564466">
    <w:abstractNumId w:val="563"/>
  </w:num>
  <w:num w:numId="1023" w16cid:durableId="1921940770">
    <w:abstractNumId w:val="797"/>
  </w:num>
  <w:num w:numId="1024" w16cid:durableId="70081645">
    <w:abstractNumId w:val="171"/>
  </w:num>
  <w:num w:numId="1025" w16cid:durableId="1216116300">
    <w:abstractNumId w:val="367"/>
  </w:num>
  <w:num w:numId="1026" w16cid:durableId="1472869026">
    <w:abstractNumId w:val="853"/>
  </w:num>
  <w:num w:numId="1027" w16cid:durableId="991716988">
    <w:abstractNumId w:val="355"/>
  </w:num>
  <w:num w:numId="1028" w16cid:durableId="627978015">
    <w:abstractNumId w:val="524"/>
  </w:num>
  <w:num w:numId="1029" w16cid:durableId="61098485">
    <w:abstractNumId w:val="1023"/>
  </w:num>
  <w:num w:numId="1030" w16cid:durableId="768502936">
    <w:abstractNumId w:val="980"/>
  </w:num>
  <w:num w:numId="1031" w16cid:durableId="1035085407">
    <w:abstractNumId w:val="681"/>
  </w:num>
  <w:num w:numId="1032" w16cid:durableId="2126726505">
    <w:abstractNumId w:val="491"/>
  </w:num>
  <w:num w:numId="1033" w16cid:durableId="855003058">
    <w:abstractNumId w:val="930"/>
  </w:num>
  <w:num w:numId="1034" w16cid:durableId="1067336205">
    <w:abstractNumId w:val="352"/>
  </w:num>
  <w:num w:numId="1035" w16cid:durableId="2111394711">
    <w:abstractNumId w:val="1002"/>
  </w:num>
  <w:num w:numId="1036" w16cid:durableId="2002000945">
    <w:abstractNumId w:val="94"/>
  </w:num>
  <w:num w:numId="1037" w16cid:durableId="65032493">
    <w:abstractNumId w:val="861"/>
  </w:num>
  <w:num w:numId="1038" w16cid:durableId="1612662486">
    <w:abstractNumId w:val="409"/>
  </w:num>
  <w:num w:numId="1039" w16cid:durableId="2075466594">
    <w:abstractNumId w:val="337"/>
  </w:num>
  <w:num w:numId="1040" w16cid:durableId="120459033">
    <w:abstractNumId w:val="900"/>
  </w:num>
  <w:num w:numId="1041" w16cid:durableId="927542000">
    <w:abstractNumId w:val="846"/>
  </w:num>
  <w:num w:numId="1042" w16cid:durableId="1397121682">
    <w:abstractNumId w:val="485"/>
  </w:num>
  <w:num w:numId="1043" w16cid:durableId="1190072402">
    <w:abstractNumId w:val="504"/>
  </w:num>
  <w:num w:numId="1044" w16cid:durableId="270746588">
    <w:abstractNumId w:val="24"/>
  </w:num>
  <w:num w:numId="1045" w16cid:durableId="1616981705">
    <w:abstractNumId w:val="165"/>
  </w:num>
  <w:num w:numId="1046" w16cid:durableId="1913463822">
    <w:abstractNumId w:val="957"/>
  </w:num>
  <w:num w:numId="1047" w16cid:durableId="1911889060">
    <w:abstractNumId w:val="971"/>
  </w:num>
  <w:num w:numId="1048" w16cid:durableId="908350171">
    <w:abstractNumId w:val="843"/>
  </w:num>
  <w:num w:numId="1049" w16cid:durableId="469135745">
    <w:abstractNumId w:val="22"/>
  </w:num>
  <w:num w:numId="1050" w16cid:durableId="396628357">
    <w:abstractNumId w:val="662"/>
  </w:num>
  <w:num w:numId="1051" w16cid:durableId="1287005003">
    <w:abstractNumId w:val="2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05DD"/>
    <w:rsid w:val="00021F41"/>
    <w:rsid w:val="00022C7F"/>
    <w:rsid w:val="0002481F"/>
    <w:rsid w:val="00025966"/>
    <w:rsid w:val="00031F18"/>
    <w:rsid w:val="00037C8D"/>
    <w:rsid w:val="00047A06"/>
    <w:rsid w:val="00080B5E"/>
    <w:rsid w:val="000A1909"/>
    <w:rsid w:val="000A60ED"/>
    <w:rsid w:val="000E56AD"/>
    <w:rsid w:val="0010109B"/>
    <w:rsid w:val="00116566"/>
    <w:rsid w:val="00117472"/>
    <w:rsid w:val="00122C70"/>
    <w:rsid w:val="00130827"/>
    <w:rsid w:val="0014305D"/>
    <w:rsid w:val="0015468B"/>
    <w:rsid w:val="00156473"/>
    <w:rsid w:val="00157942"/>
    <w:rsid w:val="00163C7B"/>
    <w:rsid w:val="001905C2"/>
    <w:rsid w:val="001B1771"/>
    <w:rsid w:val="001D25C0"/>
    <w:rsid w:val="001D3923"/>
    <w:rsid w:val="001D67E9"/>
    <w:rsid w:val="001D6884"/>
    <w:rsid w:val="001D7163"/>
    <w:rsid w:val="001E4CFE"/>
    <w:rsid w:val="00226209"/>
    <w:rsid w:val="002274C5"/>
    <w:rsid w:val="002528DE"/>
    <w:rsid w:val="002548E6"/>
    <w:rsid w:val="002606FC"/>
    <w:rsid w:val="00275881"/>
    <w:rsid w:val="002B25CB"/>
    <w:rsid w:val="002C0C82"/>
    <w:rsid w:val="002D719B"/>
    <w:rsid w:val="00303A87"/>
    <w:rsid w:val="0030732C"/>
    <w:rsid w:val="00330A5A"/>
    <w:rsid w:val="00344A41"/>
    <w:rsid w:val="00346E6B"/>
    <w:rsid w:val="00352FF1"/>
    <w:rsid w:val="003607C5"/>
    <w:rsid w:val="00366C59"/>
    <w:rsid w:val="00385E09"/>
    <w:rsid w:val="00396F46"/>
    <w:rsid w:val="003976BE"/>
    <w:rsid w:val="003C52F6"/>
    <w:rsid w:val="003D0A79"/>
    <w:rsid w:val="003D2036"/>
    <w:rsid w:val="003D2F2E"/>
    <w:rsid w:val="003D4627"/>
    <w:rsid w:val="003D6DB3"/>
    <w:rsid w:val="003E1595"/>
    <w:rsid w:val="003F0E0D"/>
    <w:rsid w:val="0040416A"/>
    <w:rsid w:val="004101C9"/>
    <w:rsid w:val="0041759B"/>
    <w:rsid w:val="00417C58"/>
    <w:rsid w:val="004222D7"/>
    <w:rsid w:val="0042342F"/>
    <w:rsid w:val="00431006"/>
    <w:rsid w:val="00431501"/>
    <w:rsid w:val="00431BE9"/>
    <w:rsid w:val="0045555A"/>
    <w:rsid w:val="004636D0"/>
    <w:rsid w:val="00471459"/>
    <w:rsid w:val="00475974"/>
    <w:rsid w:val="00477892"/>
    <w:rsid w:val="00482585"/>
    <w:rsid w:val="00491EBA"/>
    <w:rsid w:val="004A6A57"/>
    <w:rsid w:val="004B588D"/>
    <w:rsid w:val="004C374F"/>
    <w:rsid w:val="004C4BB4"/>
    <w:rsid w:val="004E7413"/>
    <w:rsid w:val="0050133D"/>
    <w:rsid w:val="00501BE9"/>
    <w:rsid w:val="0050593E"/>
    <w:rsid w:val="0050787A"/>
    <w:rsid w:val="00530665"/>
    <w:rsid w:val="00557396"/>
    <w:rsid w:val="005635BB"/>
    <w:rsid w:val="00570855"/>
    <w:rsid w:val="0057268A"/>
    <w:rsid w:val="005729D7"/>
    <w:rsid w:val="0057482D"/>
    <w:rsid w:val="00577F1E"/>
    <w:rsid w:val="00595752"/>
    <w:rsid w:val="00596782"/>
    <w:rsid w:val="005A2726"/>
    <w:rsid w:val="005C5ACE"/>
    <w:rsid w:val="005E2CF1"/>
    <w:rsid w:val="00606763"/>
    <w:rsid w:val="006104C7"/>
    <w:rsid w:val="00612997"/>
    <w:rsid w:val="006315A5"/>
    <w:rsid w:val="006858FA"/>
    <w:rsid w:val="00691900"/>
    <w:rsid w:val="006A2FB0"/>
    <w:rsid w:val="006A5206"/>
    <w:rsid w:val="006B3DCD"/>
    <w:rsid w:val="006B5765"/>
    <w:rsid w:val="006C0DF8"/>
    <w:rsid w:val="006C37C9"/>
    <w:rsid w:val="006E53C6"/>
    <w:rsid w:val="00701A17"/>
    <w:rsid w:val="00760F24"/>
    <w:rsid w:val="007610E4"/>
    <w:rsid w:val="00763A34"/>
    <w:rsid w:val="00781DD5"/>
    <w:rsid w:val="00782243"/>
    <w:rsid w:val="00792998"/>
    <w:rsid w:val="007A63FA"/>
    <w:rsid w:val="007B0C3B"/>
    <w:rsid w:val="007B4BDD"/>
    <w:rsid w:val="007B78A6"/>
    <w:rsid w:val="007C1AEA"/>
    <w:rsid w:val="007D538A"/>
    <w:rsid w:val="007E6B90"/>
    <w:rsid w:val="008049AB"/>
    <w:rsid w:val="00805A89"/>
    <w:rsid w:val="00826E9C"/>
    <w:rsid w:val="008443A3"/>
    <w:rsid w:val="008468D4"/>
    <w:rsid w:val="008836E9"/>
    <w:rsid w:val="008900D4"/>
    <w:rsid w:val="008A6337"/>
    <w:rsid w:val="008C065D"/>
    <w:rsid w:val="008C3A5A"/>
    <w:rsid w:val="008C6364"/>
    <w:rsid w:val="008C79C5"/>
    <w:rsid w:val="008D4789"/>
    <w:rsid w:val="008E112A"/>
    <w:rsid w:val="00905082"/>
    <w:rsid w:val="009127D2"/>
    <w:rsid w:val="00914B21"/>
    <w:rsid w:val="00922457"/>
    <w:rsid w:val="009267D8"/>
    <w:rsid w:val="00927FC2"/>
    <w:rsid w:val="00930759"/>
    <w:rsid w:val="009366FD"/>
    <w:rsid w:val="00953F61"/>
    <w:rsid w:val="00987AEE"/>
    <w:rsid w:val="009B0A18"/>
    <w:rsid w:val="009C1B6C"/>
    <w:rsid w:val="009D0133"/>
    <w:rsid w:val="009E3DB7"/>
    <w:rsid w:val="009E5063"/>
    <w:rsid w:val="009F6087"/>
    <w:rsid w:val="00A14302"/>
    <w:rsid w:val="00A17BEA"/>
    <w:rsid w:val="00A316C9"/>
    <w:rsid w:val="00A415D9"/>
    <w:rsid w:val="00A42238"/>
    <w:rsid w:val="00A448D2"/>
    <w:rsid w:val="00A62E40"/>
    <w:rsid w:val="00A90297"/>
    <w:rsid w:val="00A946AF"/>
    <w:rsid w:val="00AA2E73"/>
    <w:rsid w:val="00AB7A8A"/>
    <w:rsid w:val="00AC0A67"/>
    <w:rsid w:val="00AC59FD"/>
    <w:rsid w:val="00AC628B"/>
    <w:rsid w:val="00AD1DF3"/>
    <w:rsid w:val="00AD38A8"/>
    <w:rsid w:val="00AD4009"/>
    <w:rsid w:val="00AD7466"/>
    <w:rsid w:val="00AD7588"/>
    <w:rsid w:val="00AE467A"/>
    <w:rsid w:val="00B01671"/>
    <w:rsid w:val="00B02C9F"/>
    <w:rsid w:val="00B179E3"/>
    <w:rsid w:val="00B3722D"/>
    <w:rsid w:val="00B46E08"/>
    <w:rsid w:val="00B8306C"/>
    <w:rsid w:val="00B866F8"/>
    <w:rsid w:val="00B93343"/>
    <w:rsid w:val="00BA48C8"/>
    <w:rsid w:val="00BB14F1"/>
    <w:rsid w:val="00BC06FD"/>
    <w:rsid w:val="00BC0B5C"/>
    <w:rsid w:val="00BC5086"/>
    <w:rsid w:val="00BE15BB"/>
    <w:rsid w:val="00C031C3"/>
    <w:rsid w:val="00C04D65"/>
    <w:rsid w:val="00C10D36"/>
    <w:rsid w:val="00C1419D"/>
    <w:rsid w:val="00C15EB2"/>
    <w:rsid w:val="00C26825"/>
    <w:rsid w:val="00C40837"/>
    <w:rsid w:val="00C46EAA"/>
    <w:rsid w:val="00C5542D"/>
    <w:rsid w:val="00C850B2"/>
    <w:rsid w:val="00CA2F66"/>
    <w:rsid w:val="00CB1727"/>
    <w:rsid w:val="00CB4E42"/>
    <w:rsid w:val="00CC4D42"/>
    <w:rsid w:val="00CD6D50"/>
    <w:rsid w:val="00CF49B0"/>
    <w:rsid w:val="00CF6D54"/>
    <w:rsid w:val="00D05433"/>
    <w:rsid w:val="00D0763A"/>
    <w:rsid w:val="00D1450B"/>
    <w:rsid w:val="00D35DE9"/>
    <w:rsid w:val="00D507B1"/>
    <w:rsid w:val="00D518D9"/>
    <w:rsid w:val="00D53AC4"/>
    <w:rsid w:val="00D542B4"/>
    <w:rsid w:val="00D616A3"/>
    <w:rsid w:val="00D904F8"/>
    <w:rsid w:val="00D97433"/>
    <w:rsid w:val="00DA0ACC"/>
    <w:rsid w:val="00DA2FD9"/>
    <w:rsid w:val="00DA6558"/>
    <w:rsid w:val="00DB5F0E"/>
    <w:rsid w:val="00DB7FCD"/>
    <w:rsid w:val="00DD7AC3"/>
    <w:rsid w:val="00DE426C"/>
    <w:rsid w:val="00DE5690"/>
    <w:rsid w:val="00DE5A5E"/>
    <w:rsid w:val="00E07A91"/>
    <w:rsid w:val="00E172A2"/>
    <w:rsid w:val="00E206F1"/>
    <w:rsid w:val="00E30A5E"/>
    <w:rsid w:val="00E3337A"/>
    <w:rsid w:val="00E40B37"/>
    <w:rsid w:val="00E51465"/>
    <w:rsid w:val="00E551FD"/>
    <w:rsid w:val="00E7590E"/>
    <w:rsid w:val="00E8201B"/>
    <w:rsid w:val="00E83DAE"/>
    <w:rsid w:val="00E84E4F"/>
    <w:rsid w:val="00E86642"/>
    <w:rsid w:val="00EA0BC2"/>
    <w:rsid w:val="00EA7929"/>
    <w:rsid w:val="00EA7968"/>
    <w:rsid w:val="00EC48D7"/>
    <w:rsid w:val="00ED06D1"/>
    <w:rsid w:val="00ED0E45"/>
    <w:rsid w:val="00ED49A8"/>
    <w:rsid w:val="00ED7AE1"/>
    <w:rsid w:val="00EE70F0"/>
    <w:rsid w:val="00EF1059"/>
    <w:rsid w:val="00F044B5"/>
    <w:rsid w:val="00F07C67"/>
    <w:rsid w:val="00F51C98"/>
    <w:rsid w:val="00F81399"/>
    <w:rsid w:val="00FA0EF5"/>
    <w:rsid w:val="00FD44A2"/>
    <w:rsid w:val="00FE068C"/>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28FB5"/>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0"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iPriority="0"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h:2"/>
    <w:basedOn w:val="Heading1"/>
    <w:next w:val="Normal"/>
    <w:link w:val="Heading2Char"/>
    <w:uiPriority w:val="9"/>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557396"/>
    <w:pPr>
      <w:numPr>
        <w:ilvl w:val="3"/>
      </w:numPr>
      <w:outlineLvl w:val="3"/>
    </w:pPr>
    <w:rPr>
      <w:sz w:val="24"/>
      <w:szCs w:val="24"/>
    </w:rPr>
  </w:style>
  <w:style w:type="paragraph" w:styleId="Heading5">
    <w:name w:val="heading 5"/>
    <w:aliases w:val="h5,Heading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uiPriority w:val="9"/>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557396"/>
    <w:pPr>
      <w:numPr>
        <w:ilvl w:val="7"/>
      </w:numPr>
      <w:outlineLvl w:val="7"/>
    </w:pPr>
  </w:style>
  <w:style w:type="paragraph" w:styleId="Heading9">
    <w:name w:val="heading 9"/>
    <w:basedOn w:val="Heading8"/>
    <w:next w:val="Normal"/>
    <w:link w:val="Heading9Char"/>
    <w:uiPriority w:val="9"/>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uiPriority w:val="9"/>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aliases w:val="h5 Char,Heading5 Char"/>
    <w:basedOn w:val="DefaultParagraphFont"/>
    <w:link w:val="Heading5"/>
    <w:uiPriority w:val="9"/>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qFormat/>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qFormat/>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link w:val="a2"/>
    <w:uiPriority w:val="34"/>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4">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5">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5"/>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6"/>
    <w:uiPriority w:val="34"/>
    <w:qFormat/>
    <w:rsid w:val="001D6884"/>
    <w:pPr>
      <w:suppressAutoHyphens/>
      <w:spacing w:after="50"/>
      <w:ind w:left="840"/>
    </w:pPr>
    <w:rPr>
      <w:rFonts w:ascii="Cambria" w:eastAsia="SimHei" w:hAnsi="Cambria" w:cs="SimSun"/>
      <w:sz w:val="20"/>
      <w:szCs w:val="20"/>
      <w:lang w:eastAsia="en-US"/>
    </w:rPr>
  </w:style>
  <w:style w:type="character" w:customStyle="1" w:styleId="a6">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7">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uiPriority w:val="99"/>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link w:val="B4Char"/>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8">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uiPriority w:val="99"/>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9"/>
    <w:qFormat/>
    <w:locked/>
    <w:rsid w:val="001D6884"/>
    <w:rPr>
      <w:rFonts w:ascii="SimSun" w:eastAsia="SimSun" w:hAnsi="SimSun" w:cs="SimSun"/>
    </w:rPr>
  </w:style>
  <w:style w:type="paragraph" w:customStyle="1" w:styleId="a9">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a">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b">
    <w:name w:val="テキスト (文字)"/>
    <w:link w:val="ac"/>
    <w:qFormat/>
    <w:locked/>
    <w:rsid w:val="001D6884"/>
    <w:rPr>
      <w:rFonts w:ascii="Century" w:hAnsi="Century"/>
    </w:rPr>
  </w:style>
  <w:style w:type="paragraph" w:customStyle="1" w:styleId="ac">
    <w:name w:val="テキスト"/>
    <w:basedOn w:val="Normal"/>
    <w:link w:val="ab"/>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table" w:customStyle="1" w:styleId="TableGrid27">
    <w:name w:val="TableGrid27"/>
    <w:basedOn w:val="TableNormal"/>
    <w:uiPriority w:val="59"/>
    <w:qFormat/>
    <w:rsid w:val="009127D2"/>
    <w:pPr>
      <w:spacing w:after="180" w:line="240" w:lineRule="auto"/>
    </w:pPr>
    <w:rPr>
      <w:rFonts w:ascii="Times New Roman" w:eastAsia="MS Mincho" w:hAnsi="Times New Roman" w:cs="Times New Roman"/>
      <w:sz w:val="20"/>
      <w:szCs w:val="20"/>
      <w:lang w:val="en-C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1">
    <w:name w:val="Table #"/>
    <w:basedOn w:val="Normal"/>
    <w:autoRedefine/>
    <w:qFormat/>
    <w:rsid w:val="009127D2"/>
    <w:pPr>
      <w:keepNext/>
      <w:jc w:val="center"/>
    </w:pPr>
    <w:rPr>
      <w:rFonts w:ascii="Calibri" w:eastAsia="SimSun" w:hAnsi="Calibri" w:cs="Arial"/>
      <w:kern w:val="2"/>
      <w:sz w:val="20"/>
      <w:szCs w:val="20"/>
    </w:rPr>
  </w:style>
  <w:style w:type="numbering" w:customStyle="1" w:styleId="StyleBulleted2">
    <w:name w:val="Style Bulleted2"/>
    <w:rsid w:val="009127D2"/>
    <w:pPr>
      <w:numPr>
        <w:numId w:val="689"/>
      </w:numPr>
    </w:pPr>
  </w:style>
  <w:style w:type="character" w:customStyle="1" w:styleId="CRCoverPageChar">
    <w:name w:val="CR Cover Page Char"/>
    <w:qFormat/>
    <w:rsid w:val="009127D2"/>
    <w:rPr>
      <w:rFonts w:ascii="Arial" w:eastAsia="Batang" w:hAnsi="Arial" w:cs="Times New Roman"/>
      <w:sz w:val="20"/>
      <w:szCs w:val="20"/>
      <w:lang w:val="en-GB" w:eastAsia="en-US"/>
    </w:rPr>
  </w:style>
  <w:style w:type="paragraph" w:customStyle="1" w:styleId="s">
    <w:name w:val="正文s"/>
    <w:basedOn w:val="Normal"/>
    <w:qFormat/>
    <w:rsid w:val="009127D2"/>
    <w:pPr>
      <w:jc w:val="both"/>
    </w:pPr>
    <w:rPr>
      <w:rFonts w:eastAsia="SimSun"/>
      <w:iCs/>
      <w:sz w:val="21"/>
      <w:szCs w:val="21"/>
    </w:rPr>
  </w:style>
  <w:style w:type="paragraph" w:customStyle="1" w:styleId="clean">
    <w:name w:val="clean"/>
    <w:uiPriority w:val="99"/>
    <w:semiHidden/>
    <w:qFormat/>
    <w:rsid w:val="009127D2"/>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sz w:val="20"/>
      <w:szCs w:val="20"/>
    </w:rPr>
  </w:style>
  <w:style w:type="character" w:customStyle="1" w:styleId="B4Char">
    <w:name w:val="B4 Char"/>
    <w:link w:val="B4"/>
    <w:qFormat/>
    <w:locked/>
    <w:rsid w:val="009127D2"/>
    <w:rPr>
      <w:rFonts w:ascii="Calibri" w:eastAsia="MS PGothic" w:hAnsi="Calibri" w:cs="Calibri"/>
      <w:sz w:val="20"/>
      <w:szCs w:val="21"/>
      <w:lang w:eastAsia="en-US"/>
    </w:rPr>
  </w:style>
  <w:style w:type="character" w:customStyle="1" w:styleId="52">
    <w:name w:val="列表段落 字符5"/>
    <w:link w:val="24"/>
    <w:qFormat/>
    <w:rsid w:val="009127D2"/>
    <w:rPr>
      <w:rFonts w:ascii="Times" w:eastAsia="Batang" w:hAnsi="Times" w:cs="Times"/>
    </w:rPr>
  </w:style>
  <w:style w:type="paragraph" w:customStyle="1" w:styleId="24">
    <w:name w:val="列表段落2"/>
    <w:basedOn w:val="Normal"/>
    <w:link w:val="52"/>
    <w:rsid w:val="009127D2"/>
    <w:pPr>
      <w:spacing w:before="120"/>
      <w:ind w:leftChars="400" w:left="840" w:hanging="1440"/>
    </w:pPr>
    <w:rPr>
      <w:rFonts w:ascii="Times" w:eastAsia="Batang" w:hAnsi="Times" w:cs="Times"/>
      <w:sz w:val="22"/>
      <w:szCs w:val="22"/>
    </w:rPr>
  </w:style>
  <w:style w:type="character" w:customStyle="1" w:styleId="a2">
    <w:name w:val="清單段落 字元"/>
    <w:link w:val="ListParagraph1"/>
    <w:qFormat/>
    <w:rsid w:val="00B179E3"/>
    <w:rPr>
      <w:rFonts w:ascii="Times New Roman" w:eastAsia="Times New Roman" w:hAnsi="Times New Roman" w:cs="Times New Roman"/>
      <w:sz w:val="24"/>
      <w:szCs w:val="24"/>
    </w:rPr>
  </w:style>
  <w:style w:type="paragraph" w:customStyle="1" w:styleId="310">
    <w:name w:val="标题 31"/>
    <w:basedOn w:val="Normal"/>
    <w:next w:val="Normal"/>
    <w:autoRedefine/>
    <w:qFormat/>
    <w:rsid w:val="00B179E3"/>
    <w:pPr>
      <w:keepNext/>
      <w:keepLines/>
      <w:widowControl w:val="0"/>
      <w:spacing w:before="120" w:after="180"/>
      <w:ind w:left="1134" w:hanging="1134"/>
      <w:outlineLvl w:val="2"/>
    </w:pPr>
    <w:rPr>
      <w:rFonts w:ascii="Arial" w:eastAsia="SimSun" w:hAnsi="Arial"/>
      <w:sz w:val="28"/>
      <w:szCs w:val="28"/>
    </w:rPr>
  </w:style>
  <w:style w:type="paragraph" w:customStyle="1" w:styleId="1f">
    <w:name w:val="正文1"/>
    <w:autoRedefine/>
    <w:qFormat/>
    <w:rsid w:val="00B179E3"/>
    <w:pPr>
      <w:spacing w:before="100" w:beforeAutospacing="1" w:after="180" w:line="240" w:lineRule="auto"/>
    </w:pPr>
    <w:rPr>
      <w:rFonts w:ascii="Times New Roman" w:eastAsia="SimSun" w:hAnsi="Times New Roman" w:cs="Times New Roman"/>
      <w:sz w:val="24"/>
      <w:szCs w:val="24"/>
    </w:rPr>
  </w:style>
  <w:style w:type="paragraph" w:customStyle="1" w:styleId="1f0">
    <w:name w:val="清單段落1"/>
    <w:basedOn w:val="Normal"/>
    <w:uiPriority w:val="34"/>
    <w:qFormat/>
    <w:rsid w:val="00B179E3"/>
    <w:pPr>
      <w:ind w:leftChars="400" w:left="840"/>
    </w:pPr>
    <w:rPr>
      <w:rFonts w:ascii="Times" w:eastAsia="Batang" w:hAnsi="Times"/>
      <w:sz w:val="20"/>
      <w:lang w:val="en-GB"/>
    </w:rPr>
  </w:style>
  <w:style w:type="character" w:customStyle="1" w:styleId="Char1">
    <w:name w:val="목록 단락 Char1"/>
    <w:uiPriority w:val="34"/>
    <w:qFormat/>
    <w:locked/>
    <w:rsid w:val="00B179E3"/>
    <w:rPr>
      <w:rFonts w:ascii="Arial" w:eastAsia="Calibri" w:hAnsi="Arial" w:cstheme="minorBidi"/>
      <w:kern w:val="2"/>
      <w:sz w:val="22"/>
      <w:szCs w:val="22"/>
      <w:lang w:val="zh-CN" w:eastAsia="en-US"/>
      <w14:ligatures w14:val="standardContextual"/>
    </w:rPr>
  </w:style>
  <w:style w:type="character" w:customStyle="1" w:styleId="Mention2">
    <w:name w:val="Mention2"/>
    <w:uiPriority w:val="99"/>
    <w:semiHidden/>
    <w:unhideWhenUsed/>
    <w:rsid w:val="00B179E3"/>
    <w:rPr>
      <w:color w:val="2B579A"/>
      <w:shd w:val="clear" w:color="auto" w:fill="E6E6E6"/>
    </w:rPr>
  </w:style>
  <w:style w:type="paragraph" w:customStyle="1" w:styleId="000proposal">
    <w:name w:val="000_proposal"/>
    <w:basedOn w:val="Normal"/>
    <w:qFormat/>
    <w:rsid w:val="00B179E3"/>
    <w:pPr>
      <w:spacing w:before="120" w:after="120" w:line="264" w:lineRule="auto"/>
      <w:jc w:val="both"/>
    </w:pPr>
    <w:rPr>
      <w:rFonts w:eastAsia="SimSun"/>
      <w:b/>
      <w:bCs/>
      <w:i/>
      <w:iCs/>
      <w:sz w:val="20"/>
    </w:rPr>
  </w:style>
  <w:style w:type="paragraph" w:customStyle="1" w:styleId="boldbullet1">
    <w:name w:val="boldbullet1"/>
    <w:basedOn w:val="Normal"/>
    <w:qFormat/>
    <w:rsid w:val="00B179E3"/>
    <w:pPr>
      <w:spacing w:after="120"/>
      <w:jc w:val="both"/>
    </w:pPr>
    <w:rPr>
      <w:rFonts w:eastAsia="SimSun"/>
      <w:b/>
      <w:sz w:val="20"/>
    </w:rPr>
  </w:style>
  <w:style w:type="table" w:styleId="GridTable4-Accent2">
    <w:name w:val="Grid Table 4 Accent 2"/>
    <w:basedOn w:val="TableNormal"/>
    <w:uiPriority w:val="49"/>
    <w:rsid w:val="00130827"/>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87</TotalTime>
  <Pages>17</Pages>
  <Words>7611</Words>
  <Characters>43388</Characters>
  <Application>Microsoft Office Word</Application>
  <DocSecurity>0</DocSecurity>
  <Lines>361</Lines>
  <Paragraphs>101</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50898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6</cp:revision>
  <dcterms:created xsi:type="dcterms:W3CDTF">2024-09-24T03:11:00Z</dcterms:created>
  <dcterms:modified xsi:type="dcterms:W3CDTF">2024-09-27T02:56:00Z</dcterms:modified>
</cp:coreProperties>
</file>